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F3C39" w:rsidRDefault="006F3C39" w:rsidP="006F3C39">
      <w:pPr>
        <w:pStyle w:val="ad"/>
        <w:spacing w:after="240"/>
        <w:ind w:left="1440" w:hanging="144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1040716</wp:posOffset>
                </wp:positionH>
                <wp:positionV relativeFrom="paragraph">
                  <wp:posOffset>-110424</wp:posOffset>
                </wp:positionV>
                <wp:extent cx="3443844" cy="451262"/>
                <wp:effectExtent l="0" t="0" r="23495" b="2540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3844" cy="451262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7FBBFB92" id="Rounded Rectangle 5" o:spid="_x0000_s1026" style="position:absolute;margin-left:81.95pt;margin-top:-8.7pt;width:271.15pt;height:35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" filled="f" strokecolor="#1f4d78 [1604]" strokeweight="1pt">
                <v:stroke joinstyle="miter"/>
              </v:roundrect>
            </w:pict>
          </mc:Fallback>
        </mc:AlternateContent>
      </w:r>
      <w:r>
        <w:rPr>
          <w:rFonts w:ascii="TH SarabunPSK" w:hAnsi="TH SarabunPSK" w:cs="TH SarabunPSK" w:hint="cs"/>
          <w:b/>
          <w:bCs/>
          <w:cs/>
        </w:rPr>
        <w:t>สำนักงานเขตพื้นที่การศึกษาไม่ต้องดำเนินการตัวชี้วัดนี้</w:t>
      </w:r>
    </w:p>
    <w:p w:rsidR="00374A36" w:rsidRDefault="00374A36" w:rsidP="00374A36">
      <w:pPr>
        <w:pStyle w:val="ad"/>
        <w:spacing w:before="120" w:line="276" w:lineRule="auto"/>
        <w:ind w:left="1440" w:hanging="1440"/>
        <w:jc w:val="left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ตัวชี้วัดที่ </w:t>
      </w:r>
      <w:r>
        <w:rPr>
          <w:rFonts w:ascii="TH SarabunPSK" w:hAnsi="TH SarabunPSK" w:cs="TH SarabunPSK"/>
          <w:b/>
          <w:bCs/>
          <w:cs/>
        </w:rPr>
        <w:t>1.2</w:t>
      </w:r>
      <w:r w:rsidRPr="00374A36"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/>
          <w:b/>
          <w:bCs/>
          <w:cs/>
        </w:rPr>
        <w:tab/>
      </w:r>
      <w:r w:rsidRPr="00374A36">
        <w:rPr>
          <w:rFonts w:ascii="TH SarabunPSK" w:hAnsi="TH SarabunPSK" w:cs="TH SarabunPSK"/>
          <w:b/>
          <w:bCs/>
          <w:cs/>
        </w:rPr>
        <w:t>ระดับความสำเร็จในการพัฒนาคุณภาพผู้เรียน</w:t>
      </w:r>
    </w:p>
    <w:p w:rsidR="00837A81" w:rsidRDefault="00837A81" w:rsidP="00374A36">
      <w:pPr>
        <w:pStyle w:val="ad"/>
        <w:spacing w:before="120" w:line="276" w:lineRule="auto"/>
        <w:ind w:left="1440" w:hanging="1440"/>
        <w:jc w:val="left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ตัวชี้วัดที่ </w:t>
      </w:r>
      <w:r w:rsidR="00374A36">
        <w:rPr>
          <w:rFonts w:ascii="TH SarabunPSK" w:hAnsi="TH SarabunPSK" w:cs="TH SarabunPSK"/>
          <w:b/>
          <w:bCs/>
        </w:rPr>
        <w:t>1.</w:t>
      </w:r>
      <w:r w:rsidR="00C76E95">
        <w:rPr>
          <w:rFonts w:ascii="TH SarabunPSK" w:hAnsi="TH SarabunPSK" w:cs="TH SarabunPSK"/>
          <w:b/>
          <w:bCs/>
        </w:rPr>
        <w:t>2.</w:t>
      </w:r>
      <w:r w:rsidR="00492E3B">
        <w:rPr>
          <w:rFonts w:ascii="TH SarabunPSK" w:hAnsi="TH SarabunPSK" w:cs="TH SarabunPSK"/>
          <w:b/>
          <w:bCs/>
        </w:rPr>
        <w:t>3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="00374A36">
        <w:rPr>
          <w:rFonts w:ascii="TH SarabunPSK" w:hAnsi="TH SarabunPSK" w:cs="TH SarabunPSK" w:hint="cs"/>
          <w:b/>
          <w:bCs/>
          <w:cs/>
        </w:rPr>
        <w:tab/>
      </w:r>
      <w:r w:rsidR="00492E3B" w:rsidRPr="00492E3B">
        <w:rPr>
          <w:rFonts w:ascii="TH SarabunPSK" w:hAnsi="TH SarabunPSK" w:cs="TH SarabunPSK"/>
          <w:b/>
          <w:bCs/>
          <w:cs/>
        </w:rPr>
        <w:t>ขีดความสามารถในการแข่งขันด้านการศึกษาของประเทศไทยจากรายงาน (</w:t>
      </w:r>
      <w:r w:rsidR="00492E3B" w:rsidRPr="00492E3B">
        <w:rPr>
          <w:rFonts w:ascii="TH SarabunPSK" w:hAnsi="TH SarabunPSK" w:cs="TH SarabunPSK"/>
          <w:b/>
          <w:bCs/>
        </w:rPr>
        <w:t>IMD 2016)</w:t>
      </w:r>
    </w:p>
    <w:p w:rsidR="00837A81" w:rsidRPr="00837A81" w:rsidRDefault="00837A81" w:rsidP="00374A36">
      <w:pPr>
        <w:spacing w:before="120" w:line="276" w:lineRule="auto"/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</w:pPr>
      <w:r w:rsidRPr="004527E0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 xml:space="preserve">หน่วยวัด </w:t>
      </w:r>
      <w:r w:rsidRPr="004527E0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lang w:eastAsia="th-TH"/>
        </w:rPr>
        <w:t xml:space="preserve">: </w:t>
      </w:r>
      <w:r w:rsidR="007C3AEB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ab/>
      </w:r>
      <w:r w:rsidR="00492E3B">
        <w:rPr>
          <w:rFonts w:ascii="TH SarabunPSK" w:eastAsia="Angsana New" w:hAnsi="TH SarabunPSK" w:cs="TH SarabunPSK" w:hint="cs"/>
          <w:b/>
          <w:bCs/>
          <w:snapToGrid w:val="0"/>
          <w:sz w:val="32"/>
          <w:szCs w:val="32"/>
          <w:cs/>
          <w:lang w:eastAsia="th-TH"/>
        </w:rPr>
        <w:t>อันดับ</w:t>
      </w:r>
    </w:p>
    <w:p w:rsidR="00837A81" w:rsidRDefault="00837A81" w:rsidP="00374A36">
      <w:pPr>
        <w:pStyle w:val="ad"/>
        <w:spacing w:before="120" w:line="276" w:lineRule="auto"/>
        <w:jc w:val="left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น้ำหนัก </w:t>
      </w:r>
      <w:r>
        <w:rPr>
          <w:rFonts w:ascii="TH SarabunPSK" w:hAnsi="TH SarabunPSK" w:cs="TH SarabunPSK"/>
          <w:b/>
          <w:bCs/>
        </w:rPr>
        <w:t xml:space="preserve">: </w:t>
      </w:r>
      <w:r w:rsidR="007C3AEB">
        <w:rPr>
          <w:rFonts w:ascii="TH SarabunPSK" w:hAnsi="TH SarabunPSK" w:cs="TH SarabunPSK"/>
          <w:b/>
          <w:bCs/>
        </w:rPr>
        <w:tab/>
      </w:r>
      <w:r w:rsidR="00C76E95">
        <w:rPr>
          <w:rFonts w:ascii="TH SarabunPSK" w:hAnsi="TH SarabunPSK" w:cs="TH SarabunPSK" w:hint="cs"/>
          <w:b/>
          <w:bCs/>
          <w:cs/>
        </w:rPr>
        <w:t xml:space="preserve">ร้อยละ </w:t>
      </w:r>
      <w:r w:rsidR="00123AD7">
        <w:rPr>
          <w:rFonts w:ascii="TH SarabunPSK" w:hAnsi="TH SarabunPSK" w:cs="TH SarabunPSK"/>
          <w:b/>
          <w:bCs/>
        </w:rPr>
        <w:t>4</w:t>
      </w:r>
    </w:p>
    <w:p w:rsidR="00304AA0" w:rsidRDefault="00AF1207" w:rsidP="00374A36">
      <w:pPr>
        <w:pStyle w:val="a3"/>
        <w:spacing w:before="120" w:line="276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527E0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คำอธิบาย </w:t>
      </w:r>
      <w:r w:rsidRPr="004527E0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4527E0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4A4230" w:rsidRPr="00492E3B" w:rsidRDefault="00182F7C" w:rsidP="00374A36">
      <w:pPr>
        <w:numPr>
          <w:ilvl w:val="0"/>
          <w:numId w:val="18"/>
        </w:numPr>
        <w:tabs>
          <w:tab w:val="clear" w:pos="720"/>
          <w:tab w:val="num" w:pos="900"/>
        </w:tabs>
        <w:spacing w:line="276" w:lineRule="auto"/>
        <w:ind w:left="0" w:firstLine="1080"/>
        <w:jc w:val="thaiDistribute"/>
        <w:outlineLvl w:val="0"/>
        <w:rPr>
          <w:rFonts w:ascii="TH SarabunPSK" w:hAnsi="TH SarabunPSK" w:cs="TH SarabunPSK"/>
          <w:spacing w:val="-2"/>
          <w:sz w:val="32"/>
          <w:szCs w:val="32"/>
        </w:rPr>
      </w:pPr>
      <w:r w:rsidRPr="00374A36">
        <w:rPr>
          <w:rFonts w:ascii="TH SarabunPSK" w:hAnsi="TH SarabunPSK" w:cs="TH SarabunPSK"/>
          <w:spacing w:val="-6"/>
          <w:sz w:val="32"/>
          <w:szCs w:val="32"/>
          <w:cs/>
        </w:rPr>
        <w:t>สถาบันเพื่อพัฒนาการจัดการ (</w:t>
      </w:r>
      <w:r w:rsidRPr="00374A36">
        <w:rPr>
          <w:rFonts w:ascii="TH SarabunPSK" w:hAnsi="TH SarabunPSK" w:cs="TH SarabunPSK"/>
          <w:spacing w:val="-6"/>
          <w:sz w:val="32"/>
          <w:szCs w:val="32"/>
        </w:rPr>
        <w:t>Interna</w:t>
      </w:r>
      <w:r w:rsidR="00374A36" w:rsidRPr="00374A36">
        <w:rPr>
          <w:rFonts w:ascii="TH SarabunPSK" w:hAnsi="TH SarabunPSK" w:cs="TH SarabunPSK"/>
          <w:spacing w:val="-6"/>
          <w:sz w:val="32"/>
          <w:szCs w:val="32"/>
        </w:rPr>
        <w:t xml:space="preserve">tional Institute for Management </w:t>
      </w:r>
      <w:r w:rsidRPr="00374A36">
        <w:rPr>
          <w:rFonts w:ascii="TH SarabunPSK" w:hAnsi="TH SarabunPSK" w:cs="TH SarabunPSK"/>
          <w:spacing w:val="-6"/>
          <w:sz w:val="32"/>
          <w:szCs w:val="32"/>
        </w:rPr>
        <w:t>Development</w:t>
      </w:r>
      <w:r w:rsidRPr="00492E3B">
        <w:rPr>
          <w:rFonts w:ascii="TH SarabunPSK" w:hAnsi="TH SarabunPSK" w:cs="TH SarabunPSK"/>
          <w:spacing w:val="-2"/>
          <w:sz w:val="32"/>
          <w:szCs w:val="32"/>
        </w:rPr>
        <w:t xml:space="preserve"> : IMD) </w:t>
      </w:r>
      <w:r w:rsidRPr="00492E3B">
        <w:rPr>
          <w:rFonts w:ascii="TH SarabunPSK" w:hAnsi="TH SarabunPSK" w:cs="TH SarabunPSK"/>
          <w:spacing w:val="-2"/>
          <w:sz w:val="32"/>
          <w:szCs w:val="32"/>
          <w:cs/>
        </w:rPr>
        <w:t>ได้ประเมินความสามารถในการแข่งขันของประเทศต่างๆ ทั้งนี้ ในส่วนของโครงสร้างพื้นฐานมีปัจจัยย่อยที่สำคัญอย่างหนึ่ง คือ</w:t>
      </w:r>
      <w:r w:rsidRPr="00492E3B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492E3B">
        <w:rPr>
          <w:rFonts w:ascii="TH SarabunPSK" w:hAnsi="TH SarabunPSK" w:cs="TH SarabunPSK"/>
          <w:spacing w:val="-2"/>
          <w:sz w:val="32"/>
          <w:szCs w:val="32"/>
          <w:cs/>
        </w:rPr>
        <w:t>ด้านการศึกษา</w:t>
      </w:r>
      <w:r w:rsidRPr="00492E3B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492E3B">
        <w:rPr>
          <w:rFonts w:ascii="TH SarabunPSK" w:hAnsi="TH SarabunPSK" w:cs="TH SarabunPSK"/>
          <w:spacing w:val="-2"/>
          <w:sz w:val="32"/>
          <w:szCs w:val="32"/>
          <w:cs/>
        </w:rPr>
        <w:t>(</w:t>
      </w:r>
      <w:r w:rsidRPr="00492E3B">
        <w:rPr>
          <w:rFonts w:ascii="TH SarabunPSK" w:hAnsi="TH SarabunPSK" w:cs="TH SarabunPSK"/>
          <w:spacing w:val="-2"/>
          <w:sz w:val="32"/>
          <w:szCs w:val="32"/>
        </w:rPr>
        <w:t>Education</w:t>
      </w:r>
      <w:r w:rsidRPr="00492E3B">
        <w:rPr>
          <w:rFonts w:ascii="TH SarabunPSK" w:hAnsi="TH SarabunPSK" w:cs="TH SarabunPSK"/>
          <w:spacing w:val="-2"/>
          <w:sz w:val="32"/>
          <w:szCs w:val="32"/>
          <w:cs/>
        </w:rPr>
        <w:t>)</w:t>
      </w:r>
    </w:p>
    <w:p w:rsidR="004A4230" w:rsidRPr="00492E3B" w:rsidRDefault="00182F7C" w:rsidP="00374A36">
      <w:pPr>
        <w:numPr>
          <w:ilvl w:val="0"/>
          <w:numId w:val="18"/>
        </w:numPr>
        <w:tabs>
          <w:tab w:val="clear" w:pos="720"/>
          <w:tab w:val="num" w:pos="900"/>
        </w:tabs>
        <w:spacing w:line="276" w:lineRule="auto"/>
        <w:ind w:left="0" w:firstLine="1080"/>
        <w:jc w:val="thaiDistribute"/>
        <w:outlineLvl w:val="0"/>
        <w:rPr>
          <w:rFonts w:ascii="TH SarabunPSK" w:hAnsi="TH SarabunPSK" w:cs="TH SarabunPSK"/>
          <w:spacing w:val="-2"/>
          <w:sz w:val="32"/>
          <w:szCs w:val="32"/>
          <w:cs/>
        </w:rPr>
      </w:pPr>
      <w:r w:rsidRPr="00492E3B">
        <w:rPr>
          <w:rFonts w:ascii="TH SarabunPSK" w:hAnsi="TH SarabunPSK" w:cs="TH SarabunPSK"/>
          <w:spacing w:val="-2"/>
          <w:sz w:val="32"/>
          <w:szCs w:val="32"/>
          <w:cs/>
        </w:rPr>
        <w:t xml:space="preserve">เพื่อยกระดับความสามารถในการแข่งขันด้านการศึกษาจึงเลือกใช้ข้อมูลจากการสอบถามความคิดเห็นผู้ประกอบการเพื่อพิจารณาว่าระบบการศึกษาทั้งระบบและการศึกษาระดับอุดมศึกษาของไทยสามารถตอบสนองต่อตลาดแรงงาน เศรษฐกิจ และการแข่งขันได้เพียงใด </w:t>
      </w:r>
    </w:p>
    <w:p w:rsidR="004A4230" w:rsidRPr="00492E3B" w:rsidRDefault="00182F7C" w:rsidP="00374A36">
      <w:pPr>
        <w:numPr>
          <w:ilvl w:val="0"/>
          <w:numId w:val="18"/>
        </w:numPr>
        <w:tabs>
          <w:tab w:val="clear" w:pos="720"/>
          <w:tab w:val="num" w:pos="900"/>
        </w:tabs>
        <w:spacing w:line="276" w:lineRule="auto"/>
        <w:ind w:left="0" w:firstLine="1080"/>
        <w:jc w:val="thaiDistribute"/>
        <w:outlineLvl w:val="0"/>
        <w:rPr>
          <w:rFonts w:ascii="TH SarabunPSK" w:hAnsi="TH SarabunPSK" w:cs="TH SarabunPSK"/>
          <w:spacing w:val="-2"/>
          <w:sz w:val="32"/>
          <w:szCs w:val="32"/>
          <w:cs/>
        </w:rPr>
      </w:pPr>
      <w:r w:rsidRPr="00492E3B">
        <w:rPr>
          <w:rFonts w:ascii="TH SarabunPSK" w:hAnsi="TH SarabunPSK" w:cs="TH SarabunPSK"/>
          <w:spacing w:val="-2"/>
          <w:sz w:val="32"/>
          <w:szCs w:val="32"/>
          <w:cs/>
        </w:rPr>
        <w:t>กำหนดเป็นตัวชี้วัดร่วมกันระหว่างทุกส่วนราชการในสังกัดกระทรวงศึกษาธิการ โดยใช้เกณฑ์การให้คะแนนเดียวกัน</w:t>
      </w:r>
    </w:p>
    <w:p w:rsidR="004A4230" w:rsidRPr="00492E3B" w:rsidRDefault="00182F7C" w:rsidP="00374A36">
      <w:pPr>
        <w:numPr>
          <w:ilvl w:val="0"/>
          <w:numId w:val="18"/>
        </w:numPr>
        <w:tabs>
          <w:tab w:val="clear" w:pos="720"/>
          <w:tab w:val="num" w:pos="900"/>
        </w:tabs>
        <w:spacing w:line="276" w:lineRule="auto"/>
        <w:ind w:left="0" w:firstLine="1080"/>
        <w:jc w:val="thaiDistribute"/>
        <w:outlineLvl w:val="0"/>
        <w:rPr>
          <w:rFonts w:ascii="TH SarabunPSK" w:hAnsi="TH SarabunPSK" w:cs="TH SarabunPSK"/>
          <w:spacing w:val="-2"/>
          <w:sz w:val="32"/>
          <w:szCs w:val="32"/>
          <w:cs/>
        </w:rPr>
      </w:pPr>
      <w:r w:rsidRPr="00492E3B">
        <w:rPr>
          <w:rFonts w:ascii="TH SarabunPSK" w:hAnsi="TH SarabunPSK" w:cs="TH SarabunPSK"/>
          <w:spacing w:val="-2"/>
          <w:sz w:val="32"/>
          <w:szCs w:val="32"/>
          <w:cs/>
        </w:rPr>
        <w:t>การประเมินผลคำนวณจากค่าคะแนนเฉลี่ยของผลดำเนินงานที่ได้รับในแต่ละตัวชี้วัดย่อย ซึ่งทุกตัวชี้วัดย่อยมีค่าน้ำหนักเท่ากัน ดังนี้</w:t>
      </w:r>
    </w:p>
    <w:p w:rsidR="00492E3B" w:rsidRPr="00947698" w:rsidRDefault="00492E3B" w:rsidP="004612B7">
      <w:pPr>
        <w:outlineLvl w:val="0"/>
        <w:rPr>
          <w:rFonts w:ascii="TH SarabunPSK" w:hAnsi="TH SarabunPSK" w:cs="TH SarabunPSK"/>
          <w:spacing w:val="-2"/>
          <w:sz w:val="14"/>
          <w:szCs w:val="14"/>
        </w:rPr>
      </w:pPr>
    </w:p>
    <w:tbl>
      <w:tblPr>
        <w:tblW w:w="9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220"/>
        <w:gridCol w:w="916"/>
        <w:gridCol w:w="1080"/>
        <w:gridCol w:w="900"/>
        <w:gridCol w:w="900"/>
        <w:gridCol w:w="1080"/>
      </w:tblGrid>
      <w:tr w:rsidR="00492E3B" w:rsidRPr="00492E3B" w:rsidTr="000E531F">
        <w:trPr>
          <w:trHeight w:val="506"/>
          <w:tblHeader/>
        </w:trPr>
        <w:tc>
          <w:tcPr>
            <w:tcW w:w="4220" w:type="dxa"/>
            <w:shd w:val="clear" w:color="auto" w:fill="F2F2F2" w:themeFill="background1" w:themeFillShade="F2"/>
            <w:tcMar>
              <w:top w:w="63" w:type="dxa"/>
              <w:left w:w="127" w:type="dxa"/>
              <w:bottom w:w="63" w:type="dxa"/>
              <w:right w:w="127" w:type="dxa"/>
            </w:tcMar>
            <w:vAlign w:val="center"/>
            <w:hideMark/>
          </w:tcPr>
          <w:p w:rsidR="00492E3B" w:rsidRPr="00492E3B" w:rsidRDefault="00492E3B" w:rsidP="00492E3B">
            <w:pPr>
              <w:jc w:val="center"/>
              <w:outlineLvl w:val="0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492E3B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 xml:space="preserve">ตัวชี้วัด </w:t>
            </w:r>
            <w:r w:rsidRPr="00492E3B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</w:rPr>
              <w:t>IMD</w:t>
            </w:r>
          </w:p>
        </w:tc>
        <w:tc>
          <w:tcPr>
            <w:tcW w:w="916" w:type="dxa"/>
            <w:shd w:val="clear" w:color="auto" w:fill="F2F2F2" w:themeFill="background1" w:themeFillShade="F2"/>
            <w:tcMar>
              <w:top w:w="63" w:type="dxa"/>
              <w:left w:w="127" w:type="dxa"/>
              <w:bottom w:w="63" w:type="dxa"/>
              <w:right w:w="127" w:type="dxa"/>
            </w:tcMar>
            <w:vAlign w:val="center"/>
            <w:hideMark/>
          </w:tcPr>
          <w:p w:rsidR="00492E3B" w:rsidRPr="00492E3B" w:rsidRDefault="00492E3B" w:rsidP="00492E3B">
            <w:pPr>
              <w:jc w:val="center"/>
              <w:outlineLvl w:val="0"/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</w:pPr>
            <w:proofErr w:type="spellStart"/>
            <w:r w:rsidRPr="00492E3B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สป</w:t>
            </w:r>
            <w:proofErr w:type="spellEnd"/>
            <w:r w:rsidRPr="00492E3B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.</w:t>
            </w:r>
          </w:p>
        </w:tc>
        <w:tc>
          <w:tcPr>
            <w:tcW w:w="1080" w:type="dxa"/>
            <w:shd w:val="clear" w:color="auto" w:fill="F2F2F2" w:themeFill="background1" w:themeFillShade="F2"/>
            <w:tcMar>
              <w:top w:w="63" w:type="dxa"/>
              <w:left w:w="127" w:type="dxa"/>
              <w:bottom w:w="63" w:type="dxa"/>
              <w:right w:w="127" w:type="dxa"/>
            </w:tcMar>
            <w:vAlign w:val="center"/>
            <w:hideMark/>
          </w:tcPr>
          <w:p w:rsidR="00492E3B" w:rsidRPr="00492E3B" w:rsidRDefault="00492E3B" w:rsidP="00492E3B">
            <w:pPr>
              <w:jc w:val="center"/>
              <w:outlineLvl w:val="0"/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</w:pPr>
            <w:proofErr w:type="spellStart"/>
            <w:r w:rsidRPr="00492E3B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สพฐ</w:t>
            </w:r>
            <w:proofErr w:type="spellEnd"/>
            <w:r w:rsidRPr="00492E3B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.</w:t>
            </w:r>
          </w:p>
        </w:tc>
        <w:tc>
          <w:tcPr>
            <w:tcW w:w="900" w:type="dxa"/>
            <w:shd w:val="clear" w:color="auto" w:fill="F2F2F2" w:themeFill="background1" w:themeFillShade="F2"/>
            <w:tcMar>
              <w:top w:w="63" w:type="dxa"/>
              <w:left w:w="127" w:type="dxa"/>
              <w:bottom w:w="63" w:type="dxa"/>
              <w:right w:w="127" w:type="dxa"/>
            </w:tcMar>
            <w:vAlign w:val="center"/>
            <w:hideMark/>
          </w:tcPr>
          <w:p w:rsidR="00492E3B" w:rsidRPr="00492E3B" w:rsidRDefault="00492E3B" w:rsidP="00492E3B">
            <w:pPr>
              <w:jc w:val="center"/>
              <w:outlineLvl w:val="0"/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</w:pPr>
            <w:r w:rsidRPr="00492E3B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สอศ.</w:t>
            </w:r>
          </w:p>
        </w:tc>
        <w:tc>
          <w:tcPr>
            <w:tcW w:w="900" w:type="dxa"/>
            <w:shd w:val="clear" w:color="auto" w:fill="F2F2F2" w:themeFill="background1" w:themeFillShade="F2"/>
            <w:tcMar>
              <w:top w:w="63" w:type="dxa"/>
              <w:left w:w="127" w:type="dxa"/>
              <w:bottom w:w="63" w:type="dxa"/>
              <w:right w:w="127" w:type="dxa"/>
            </w:tcMar>
            <w:vAlign w:val="center"/>
            <w:hideMark/>
          </w:tcPr>
          <w:p w:rsidR="00492E3B" w:rsidRPr="00492E3B" w:rsidRDefault="00492E3B" w:rsidP="00492E3B">
            <w:pPr>
              <w:jc w:val="center"/>
              <w:outlineLvl w:val="0"/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</w:pPr>
            <w:proofErr w:type="spellStart"/>
            <w:r w:rsidRPr="00492E3B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สกอ</w:t>
            </w:r>
            <w:proofErr w:type="spellEnd"/>
            <w:r w:rsidRPr="00492E3B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.</w:t>
            </w:r>
          </w:p>
        </w:tc>
        <w:tc>
          <w:tcPr>
            <w:tcW w:w="1080" w:type="dxa"/>
            <w:shd w:val="clear" w:color="auto" w:fill="F2F2F2" w:themeFill="background1" w:themeFillShade="F2"/>
            <w:tcMar>
              <w:top w:w="63" w:type="dxa"/>
              <w:left w:w="127" w:type="dxa"/>
              <w:bottom w:w="63" w:type="dxa"/>
              <w:right w:w="127" w:type="dxa"/>
            </w:tcMar>
            <w:vAlign w:val="center"/>
            <w:hideMark/>
          </w:tcPr>
          <w:p w:rsidR="00492E3B" w:rsidRPr="00492E3B" w:rsidRDefault="00492E3B" w:rsidP="00492E3B">
            <w:pPr>
              <w:jc w:val="center"/>
              <w:outlineLvl w:val="0"/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</w:pPr>
            <w:r w:rsidRPr="00492E3B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สกศ.</w:t>
            </w:r>
          </w:p>
        </w:tc>
      </w:tr>
      <w:tr w:rsidR="00492E3B" w:rsidRPr="00492E3B" w:rsidTr="000E531F">
        <w:trPr>
          <w:trHeight w:val="731"/>
        </w:trPr>
        <w:tc>
          <w:tcPr>
            <w:tcW w:w="4220" w:type="dxa"/>
            <w:shd w:val="clear" w:color="auto" w:fill="auto"/>
            <w:tcMar>
              <w:top w:w="63" w:type="dxa"/>
              <w:left w:w="127" w:type="dxa"/>
              <w:bottom w:w="63" w:type="dxa"/>
              <w:right w:w="127" w:type="dxa"/>
            </w:tcMar>
            <w:vAlign w:val="center"/>
            <w:hideMark/>
          </w:tcPr>
          <w:p w:rsidR="004A4230" w:rsidRPr="00492E3B" w:rsidRDefault="00492E3B" w:rsidP="00492E3B">
            <w:pPr>
              <w:outlineLvl w:val="0"/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1. </w:t>
            </w:r>
            <w:r w:rsidR="00182F7C" w:rsidRPr="00947698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ขีดความสามารถในการแข่งขันด้านการศึกษาของประเทศไทยจากรายงานด้านการศึกษา (</w:t>
            </w:r>
            <w:r w:rsidR="00182F7C" w:rsidRPr="00947698">
              <w:rPr>
                <w:rFonts w:ascii="TH SarabunPSK" w:hAnsi="TH SarabunPSK" w:cs="TH SarabunPSK"/>
                <w:spacing w:val="-12"/>
                <w:sz w:val="32"/>
                <w:szCs w:val="32"/>
              </w:rPr>
              <w:t>Education)</w:t>
            </w:r>
          </w:p>
        </w:tc>
        <w:tc>
          <w:tcPr>
            <w:tcW w:w="916" w:type="dxa"/>
            <w:shd w:val="clear" w:color="auto" w:fill="auto"/>
            <w:tcMar>
              <w:top w:w="63" w:type="dxa"/>
              <w:left w:w="127" w:type="dxa"/>
              <w:bottom w:w="63" w:type="dxa"/>
              <w:right w:w="127" w:type="dxa"/>
            </w:tcMar>
            <w:vAlign w:val="center"/>
            <w:hideMark/>
          </w:tcPr>
          <w:p w:rsidR="00492E3B" w:rsidRPr="00492E3B" w:rsidRDefault="00492E3B" w:rsidP="00492E3B">
            <w:pPr>
              <w:jc w:val="center"/>
              <w:outlineLvl w:val="0"/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</w:pPr>
            <w:r w:rsidRPr="00492E3B">
              <w:rPr>
                <w:rFonts w:ascii="TH SarabunPSK" w:hAnsi="TH SarabunPSK" w:cs="TH SarabunPSK"/>
                <w:spacing w:val="-2"/>
                <w:sz w:val="32"/>
                <w:szCs w:val="32"/>
              </w:rPr>
              <w:t>√</w:t>
            </w:r>
          </w:p>
        </w:tc>
        <w:tc>
          <w:tcPr>
            <w:tcW w:w="1080" w:type="dxa"/>
            <w:shd w:val="clear" w:color="auto" w:fill="auto"/>
            <w:tcMar>
              <w:top w:w="63" w:type="dxa"/>
              <w:left w:w="127" w:type="dxa"/>
              <w:bottom w:w="63" w:type="dxa"/>
              <w:right w:w="127" w:type="dxa"/>
            </w:tcMar>
            <w:vAlign w:val="center"/>
            <w:hideMark/>
          </w:tcPr>
          <w:p w:rsidR="00492E3B" w:rsidRPr="00492E3B" w:rsidRDefault="00492E3B" w:rsidP="00492E3B">
            <w:pPr>
              <w:jc w:val="center"/>
              <w:outlineLvl w:val="0"/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</w:pPr>
            <w:r w:rsidRPr="00492E3B">
              <w:rPr>
                <w:rFonts w:ascii="TH SarabunPSK" w:hAnsi="TH SarabunPSK" w:cs="TH SarabunPSK"/>
                <w:spacing w:val="-2"/>
                <w:sz w:val="32"/>
                <w:szCs w:val="32"/>
              </w:rPr>
              <w:t>√</w:t>
            </w:r>
          </w:p>
        </w:tc>
        <w:tc>
          <w:tcPr>
            <w:tcW w:w="900" w:type="dxa"/>
            <w:shd w:val="clear" w:color="auto" w:fill="auto"/>
            <w:tcMar>
              <w:top w:w="63" w:type="dxa"/>
              <w:left w:w="127" w:type="dxa"/>
              <w:bottom w:w="63" w:type="dxa"/>
              <w:right w:w="127" w:type="dxa"/>
            </w:tcMar>
            <w:vAlign w:val="center"/>
            <w:hideMark/>
          </w:tcPr>
          <w:p w:rsidR="00492E3B" w:rsidRPr="00492E3B" w:rsidRDefault="00492E3B" w:rsidP="00492E3B">
            <w:pPr>
              <w:jc w:val="center"/>
              <w:outlineLvl w:val="0"/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</w:pPr>
            <w:r w:rsidRPr="00492E3B">
              <w:rPr>
                <w:rFonts w:ascii="TH SarabunPSK" w:hAnsi="TH SarabunPSK" w:cs="TH SarabunPSK"/>
                <w:spacing w:val="-2"/>
                <w:sz w:val="32"/>
                <w:szCs w:val="32"/>
              </w:rPr>
              <w:t>√</w:t>
            </w:r>
          </w:p>
        </w:tc>
        <w:tc>
          <w:tcPr>
            <w:tcW w:w="900" w:type="dxa"/>
            <w:shd w:val="clear" w:color="auto" w:fill="auto"/>
            <w:tcMar>
              <w:top w:w="63" w:type="dxa"/>
              <w:left w:w="127" w:type="dxa"/>
              <w:bottom w:w="63" w:type="dxa"/>
              <w:right w:w="127" w:type="dxa"/>
            </w:tcMar>
            <w:vAlign w:val="center"/>
            <w:hideMark/>
          </w:tcPr>
          <w:p w:rsidR="00492E3B" w:rsidRPr="00492E3B" w:rsidRDefault="00492E3B" w:rsidP="00492E3B">
            <w:pPr>
              <w:jc w:val="center"/>
              <w:outlineLvl w:val="0"/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</w:pPr>
            <w:r w:rsidRPr="00492E3B">
              <w:rPr>
                <w:rFonts w:ascii="TH SarabunPSK" w:hAnsi="TH SarabunPSK" w:cs="TH SarabunPSK"/>
                <w:spacing w:val="-2"/>
                <w:sz w:val="32"/>
                <w:szCs w:val="32"/>
              </w:rPr>
              <w:t>√</w:t>
            </w:r>
          </w:p>
        </w:tc>
        <w:tc>
          <w:tcPr>
            <w:tcW w:w="1080" w:type="dxa"/>
            <w:shd w:val="clear" w:color="auto" w:fill="auto"/>
            <w:tcMar>
              <w:top w:w="63" w:type="dxa"/>
              <w:left w:w="127" w:type="dxa"/>
              <w:bottom w:w="63" w:type="dxa"/>
              <w:right w:w="127" w:type="dxa"/>
            </w:tcMar>
            <w:vAlign w:val="center"/>
            <w:hideMark/>
          </w:tcPr>
          <w:p w:rsidR="00492E3B" w:rsidRPr="00492E3B" w:rsidRDefault="00492E3B" w:rsidP="00492E3B">
            <w:pPr>
              <w:jc w:val="center"/>
              <w:outlineLvl w:val="0"/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</w:pPr>
            <w:r w:rsidRPr="00492E3B">
              <w:rPr>
                <w:rFonts w:ascii="TH SarabunPSK" w:hAnsi="TH SarabunPSK" w:cs="TH SarabunPSK"/>
                <w:spacing w:val="-2"/>
                <w:sz w:val="32"/>
                <w:szCs w:val="32"/>
              </w:rPr>
              <w:t>√</w:t>
            </w:r>
          </w:p>
        </w:tc>
      </w:tr>
      <w:tr w:rsidR="00492E3B" w:rsidRPr="00492E3B" w:rsidTr="000E531F">
        <w:trPr>
          <w:trHeight w:val="1336"/>
        </w:trPr>
        <w:tc>
          <w:tcPr>
            <w:tcW w:w="4220" w:type="dxa"/>
            <w:shd w:val="clear" w:color="auto" w:fill="auto"/>
            <w:tcMar>
              <w:top w:w="63" w:type="dxa"/>
              <w:left w:w="127" w:type="dxa"/>
              <w:bottom w:w="63" w:type="dxa"/>
              <w:right w:w="127" w:type="dxa"/>
            </w:tcMar>
            <w:vAlign w:val="center"/>
            <w:hideMark/>
          </w:tcPr>
          <w:p w:rsidR="004A4230" w:rsidRPr="00492E3B" w:rsidRDefault="00492E3B" w:rsidP="00492E3B">
            <w:pPr>
              <w:outlineLvl w:val="0"/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2. </w:t>
            </w:r>
            <w:r w:rsidR="00182F7C" w:rsidRPr="00947698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ขีดความสามารถในการแข่งขันด้านการศึกษาของประเทศไทยจากรายงานด้านความคิดเห็นต่อการตอบสนองความสามารถในการแข่งขันทางเศรษฐกิจของระบบการศึกษา (</w:t>
            </w:r>
            <w:r w:rsidR="00182F7C" w:rsidRPr="00947698">
              <w:rPr>
                <w:rFonts w:ascii="TH SarabunPSK" w:hAnsi="TH SarabunPSK" w:cs="TH SarabunPSK"/>
                <w:spacing w:val="-10"/>
                <w:sz w:val="32"/>
                <w:szCs w:val="32"/>
              </w:rPr>
              <w:t>Educational System)</w:t>
            </w:r>
          </w:p>
        </w:tc>
        <w:tc>
          <w:tcPr>
            <w:tcW w:w="916" w:type="dxa"/>
            <w:shd w:val="clear" w:color="auto" w:fill="auto"/>
            <w:tcMar>
              <w:top w:w="63" w:type="dxa"/>
              <w:left w:w="127" w:type="dxa"/>
              <w:bottom w:w="63" w:type="dxa"/>
              <w:right w:w="127" w:type="dxa"/>
            </w:tcMar>
            <w:vAlign w:val="center"/>
            <w:hideMark/>
          </w:tcPr>
          <w:p w:rsidR="00492E3B" w:rsidRPr="00492E3B" w:rsidRDefault="00492E3B" w:rsidP="00492E3B">
            <w:pPr>
              <w:jc w:val="center"/>
              <w:outlineLvl w:val="0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492E3B">
              <w:rPr>
                <w:rFonts w:ascii="TH SarabunPSK" w:hAnsi="TH SarabunPSK" w:cs="TH SarabunPSK"/>
                <w:spacing w:val="-2"/>
                <w:sz w:val="32"/>
                <w:szCs w:val="32"/>
              </w:rPr>
              <w:t>√</w:t>
            </w:r>
          </w:p>
        </w:tc>
        <w:tc>
          <w:tcPr>
            <w:tcW w:w="1080" w:type="dxa"/>
            <w:shd w:val="clear" w:color="auto" w:fill="auto"/>
            <w:tcMar>
              <w:top w:w="63" w:type="dxa"/>
              <w:left w:w="127" w:type="dxa"/>
              <w:bottom w:w="63" w:type="dxa"/>
              <w:right w:w="127" w:type="dxa"/>
            </w:tcMar>
            <w:vAlign w:val="center"/>
            <w:hideMark/>
          </w:tcPr>
          <w:p w:rsidR="00492E3B" w:rsidRPr="00492E3B" w:rsidRDefault="00492E3B" w:rsidP="00492E3B">
            <w:pPr>
              <w:jc w:val="center"/>
              <w:outlineLvl w:val="0"/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</w:pPr>
            <w:r w:rsidRPr="00492E3B">
              <w:rPr>
                <w:rFonts w:ascii="TH SarabunPSK" w:hAnsi="TH SarabunPSK" w:cs="TH SarabunPSK"/>
                <w:spacing w:val="-2"/>
                <w:sz w:val="32"/>
                <w:szCs w:val="32"/>
              </w:rPr>
              <w:t>√</w:t>
            </w:r>
          </w:p>
        </w:tc>
        <w:tc>
          <w:tcPr>
            <w:tcW w:w="900" w:type="dxa"/>
            <w:shd w:val="clear" w:color="auto" w:fill="auto"/>
            <w:tcMar>
              <w:top w:w="63" w:type="dxa"/>
              <w:left w:w="127" w:type="dxa"/>
              <w:bottom w:w="63" w:type="dxa"/>
              <w:right w:w="127" w:type="dxa"/>
            </w:tcMar>
            <w:vAlign w:val="center"/>
            <w:hideMark/>
          </w:tcPr>
          <w:p w:rsidR="00492E3B" w:rsidRPr="00492E3B" w:rsidRDefault="00492E3B" w:rsidP="00492E3B">
            <w:pPr>
              <w:jc w:val="center"/>
              <w:outlineLvl w:val="0"/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</w:pPr>
            <w:r w:rsidRPr="00492E3B">
              <w:rPr>
                <w:rFonts w:ascii="TH SarabunPSK" w:hAnsi="TH SarabunPSK" w:cs="TH SarabunPSK"/>
                <w:spacing w:val="-2"/>
                <w:sz w:val="32"/>
                <w:szCs w:val="32"/>
              </w:rPr>
              <w:t>√</w:t>
            </w:r>
          </w:p>
        </w:tc>
        <w:tc>
          <w:tcPr>
            <w:tcW w:w="900" w:type="dxa"/>
            <w:shd w:val="clear" w:color="auto" w:fill="auto"/>
            <w:tcMar>
              <w:top w:w="63" w:type="dxa"/>
              <w:left w:w="127" w:type="dxa"/>
              <w:bottom w:w="63" w:type="dxa"/>
              <w:right w:w="127" w:type="dxa"/>
            </w:tcMar>
            <w:vAlign w:val="center"/>
            <w:hideMark/>
          </w:tcPr>
          <w:p w:rsidR="00492E3B" w:rsidRPr="00492E3B" w:rsidRDefault="00492E3B" w:rsidP="00492E3B">
            <w:pPr>
              <w:jc w:val="center"/>
              <w:outlineLvl w:val="0"/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</w:pPr>
          </w:p>
        </w:tc>
        <w:tc>
          <w:tcPr>
            <w:tcW w:w="1080" w:type="dxa"/>
            <w:shd w:val="clear" w:color="auto" w:fill="auto"/>
            <w:tcMar>
              <w:top w:w="63" w:type="dxa"/>
              <w:left w:w="127" w:type="dxa"/>
              <w:bottom w:w="63" w:type="dxa"/>
              <w:right w:w="127" w:type="dxa"/>
            </w:tcMar>
            <w:vAlign w:val="center"/>
            <w:hideMark/>
          </w:tcPr>
          <w:p w:rsidR="00492E3B" w:rsidRPr="00492E3B" w:rsidRDefault="00492E3B" w:rsidP="00492E3B">
            <w:pPr>
              <w:jc w:val="center"/>
              <w:outlineLvl w:val="0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492E3B">
              <w:rPr>
                <w:rFonts w:ascii="TH SarabunPSK" w:hAnsi="TH SarabunPSK" w:cs="TH SarabunPSK"/>
                <w:spacing w:val="-2"/>
                <w:sz w:val="32"/>
                <w:szCs w:val="32"/>
              </w:rPr>
              <w:t>√</w:t>
            </w:r>
          </w:p>
        </w:tc>
      </w:tr>
      <w:tr w:rsidR="00492E3B" w:rsidRPr="00492E3B" w:rsidTr="000E531F">
        <w:trPr>
          <w:trHeight w:val="771"/>
        </w:trPr>
        <w:tc>
          <w:tcPr>
            <w:tcW w:w="4220" w:type="dxa"/>
            <w:shd w:val="clear" w:color="auto" w:fill="auto"/>
            <w:tcMar>
              <w:top w:w="63" w:type="dxa"/>
              <w:left w:w="127" w:type="dxa"/>
              <w:bottom w:w="63" w:type="dxa"/>
              <w:right w:w="127" w:type="dxa"/>
            </w:tcMar>
            <w:vAlign w:val="center"/>
            <w:hideMark/>
          </w:tcPr>
          <w:p w:rsidR="00492E3B" w:rsidRPr="00492E3B" w:rsidRDefault="00492E3B" w:rsidP="00492E3B">
            <w:pPr>
              <w:outlineLvl w:val="0"/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</w:pPr>
            <w:r w:rsidRPr="00492E3B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3.  ขีดความสามารถในการแข่งขันด้านการศึกษาของประเทศไทยจากรายงานด้านความคิดเห็นต่อการตอบสนองความสามารถในการแข่งขันทางเศรษฐกิจของการศึกษาระดับอุดมศึกษา (</w:t>
            </w:r>
            <w:r w:rsidRPr="00492E3B">
              <w:rPr>
                <w:rFonts w:ascii="TH SarabunPSK" w:hAnsi="TH SarabunPSK" w:cs="TH SarabunPSK"/>
                <w:spacing w:val="-2"/>
                <w:sz w:val="32"/>
                <w:szCs w:val="32"/>
              </w:rPr>
              <w:t>University Education</w:t>
            </w:r>
            <w:r w:rsidRPr="00492E3B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)</w:t>
            </w:r>
          </w:p>
        </w:tc>
        <w:tc>
          <w:tcPr>
            <w:tcW w:w="916" w:type="dxa"/>
            <w:shd w:val="clear" w:color="auto" w:fill="auto"/>
            <w:tcMar>
              <w:top w:w="63" w:type="dxa"/>
              <w:left w:w="127" w:type="dxa"/>
              <w:bottom w:w="63" w:type="dxa"/>
              <w:right w:w="127" w:type="dxa"/>
            </w:tcMar>
            <w:vAlign w:val="center"/>
            <w:hideMark/>
          </w:tcPr>
          <w:p w:rsidR="00492E3B" w:rsidRPr="00492E3B" w:rsidRDefault="00492E3B" w:rsidP="00492E3B">
            <w:pPr>
              <w:jc w:val="center"/>
              <w:outlineLvl w:val="0"/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</w:pPr>
          </w:p>
        </w:tc>
        <w:tc>
          <w:tcPr>
            <w:tcW w:w="1080" w:type="dxa"/>
            <w:shd w:val="clear" w:color="auto" w:fill="auto"/>
            <w:tcMar>
              <w:top w:w="63" w:type="dxa"/>
              <w:left w:w="127" w:type="dxa"/>
              <w:bottom w:w="63" w:type="dxa"/>
              <w:right w:w="127" w:type="dxa"/>
            </w:tcMar>
            <w:vAlign w:val="center"/>
            <w:hideMark/>
          </w:tcPr>
          <w:p w:rsidR="00492E3B" w:rsidRPr="00492E3B" w:rsidRDefault="00492E3B" w:rsidP="00492E3B">
            <w:pPr>
              <w:jc w:val="center"/>
              <w:outlineLvl w:val="0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</w:p>
        </w:tc>
        <w:tc>
          <w:tcPr>
            <w:tcW w:w="900" w:type="dxa"/>
            <w:shd w:val="clear" w:color="auto" w:fill="auto"/>
            <w:tcMar>
              <w:top w:w="63" w:type="dxa"/>
              <w:left w:w="127" w:type="dxa"/>
              <w:bottom w:w="63" w:type="dxa"/>
              <w:right w:w="127" w:type="dxa"/>
            </w:tcMar>
            <w:vAlign w:val="center"/>
            <w:hideMark/>
          </w:tcPr>
          <w:p w:rsidR="00492E3B" w:rsidRPr="00492E3B" w:rsidRDefault="00492E3B" w:rsidP="00492E3B">
            <w:pPr>
              <w:jc w:val="center"/>
              <w:outlineLvl w:val="0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</w:p>
        </w:tc>
        <w:tc>
          <w:tcPr>
            <w:tcW w:w="900" w:type="dxa"/>
            <w:shd w:val="clear" w:color="auto" w:fill="auto"/>
            <w:tcMar>
              <w:top w:w="63" w:type="dxa"/>
              <w:left w:w="127" w:type="dxa"/>
              <w:bottom w:w="63" w:type="dxa"/>
              <w:right w:w="127" w:type="dxa"/>
            </w:tcMar>
            <w:vAlign w:val="center"/>
            <w:hideMark/>
          </w:tcPr>
          <w:p w:rsidR="00492E3B" w:rsidRPr="00492E3B" w:rsidRDefault="00492E3B" w:rsidP="00492E3B">
            <w:pPr>
              <w:jc w:val="center"/>
              <w:outlineLvl w:val="0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492E3B">
              <w:rPr>
                <w:rFonts w:ascii="TH SarabunPSK" w:hAnsi="TH SarabunPSK" w:cs="TH SarabunPSK"/>
                <w:spacing w:val="-2"/>
                <w:sz w:val="32"/>
                <w:szCs w:val="32"/>
              </w:rPr>
              <w:t>√</w:t>
            </w:r>
          </w:p>
        </w:tc>
        <w:tc>
          <w:tcPr>
            <w:tcW w:w="1080" w:type="dxa"/>
            <w:shd w:val="clear" w:color="auto" w:fill="auto"/>
            <w:tcMar>
              <w:top w:w="63" w:type="dxa"/>
              <w:left w:w="127" w:type="dxa"/>
              <w:bottom w:w="63" w:type="dxa"/>
              <w:right w:w="127" w:type="dxa"/>
            </w:tcMar>
            <w:vAlign w:val="center"/>
            <w:hideMark/>
          </w:tcPr>
          <w:p w:rsidR="00492E3B" w:rsidRPr="00492E3B" w:rsidRDefault="00492E3B" w:rsidP="00492E3B">
            <w:pPr>
              <w:jc w:val="center"/>
              <w:outlineLvl w:val="0"/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</w:pPr>
          </w:p>
        </w:tc>
      </w:tr>
    </w:tbl>
    <w:p w:rsidR="00492E3B" w:rsidRDefault="00492E3B" w:rsidP="004612B7">
      <w:pPr>
        <w:outlineLvl w:val="0"/>
        <w:rPr>
          <w:rFonts w:ascii="TH SarabunPSK" w:hAnsi="TH SarabunPSK" w:cs="TH SarabunPSK"/>
          <w:spacing w:val="-2"/>
          <w:sz w:val="32"/>
          <w:szCs w:val="32"/>
        </w:rPr>
      </w:pPr>
    </w:p>
    <w:p w:rsidR="004612B7" w:rsidRPr="004527E0" w:rsidRDefault="004612B7" w:rsidP="004612B7">
      <w:pPr>
        <w:outlineLvl w:val="0"/>
        <w:rPr>
          <w:rFonts w:ascii="TH SarabunPSK" w:eastAsia="BrowalliaNew-Bold" w:hAnsi="TH SarabunPSK" w:cs="TH SarabunPSK"/>
          <w:b/>
          <w:bCs/>
          <w:sz w:val="32"/>
          <w:szCs w:val="32"/>
          <w:lang w:val="x-none" w:eastAsia="x-none"/>
        </w:rPr>
      </w:pPr>
      <w:r w:rsidRPr="004527E0">
        <w:rPr>
          <w:rFonts w:ascii="TH SarabunPSK" w:eastAsia="BrowalliaNew-Bold" w:hAnsi="TH SarabunPSK" w:cs="TH SarabunPSK"/>
          <w:b/>
          <w:bCs/>
          <w:sz w:val="32"/>
          <w:szCs w:val="32"/>
          <w:cs/>
          <w:lang w:val="x-none" w:eastAsia="x-none"/>
        </w:rPr>
        <w:lastRenderedPageBreak/>
        <w:t>เกณฑ์การให้คะแนน</w:t>
      </w:r>
      <w:r w:rsidRPr="004527E0">
        <w:rPr>
          <w:rFonts w:ascii="TH SarabunPSK" w:eastAsia="BrowalliaNew-Bold" w:hAnsi="TH SarabunPSK" w:cs="TH SarabunPSK"/>
          <w:b/>
          <w:bCs/>
          <w:sz w:val="32"/>
          <w:szCs w:val="32"/>
          <w:lang w:val="x-none" w:eastAsia="x-none"/>
        </w:rPr>
        <w:t xml:space="preserve"> :</w:t>
      </w:r>
    </w:p>
    <w:tbl>
      <w:tblPr>
        <w:tblStyle w:val="ac"/>
        <w:tblW w:w="9175" w:type="dxa"/>
        <w:jc w:val="center"/>
        <w:tblLook w:val="0420" w:firstRow="1" w:lastRow="0" w:firstColumn="0" w:lastColumn="0" w:noHBand="0" w:noVBand="1"/>
      </w:tblPr>
      <w:tblGrid>
        <w:gridCol w:w="4405"/>
        <w:gridCol w:w="900"/>
        <w:gridCol w:w="900"/>
        <w:gridCol w:w="990"/>
        <w:gridCol w:w="990"/>
        <w:gridCol w:w="990"/>
      </w:tblGrid>
      <w:tr w:rsidR="00C76E95" w:rsidRPr="00492E3B" w:rsidTr="000E531F">
        <w:trPr>
          <w:trHeight w:val="400"/>
          <w:jc w:val="center"/>
        </w:trPr>
        <w:tc>
          <w:tcPr>
            <w:tcW w:w="4405" w:type="dxa"/>
            <w:shd w:val="clear" w:color="auto" w:fill="F2F2F2" w:themeFill="background1" w:themeFillShade="F2"/>
            <w:hideMark/>
          </w:tcPr>
          <w:p w:rsidR="00C76E95" w:rsidRPr="00492E3B" w:rsidRDefault="00C76E95" w:rsidP="00C76E9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2E3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รายวิชา</w:t>
            </w:r>
          </w:p>
        </w:tc>
        <w:tc>
          <w:tcPr>
            <w:tcW w:w="900" w:type="dxa"/>
            <w:shd w:val="clear" w:color="auto" w:fill="F2F2F2" w:themeFill="background1" w:themeFillShade="F2"/>
            <w:hideMark/>
          </w:tcPr>
          <w:p w:rsidR="00C76E95" w:rsidRPr="00492E3B" w:rsidRDefault="00C76E95" w:rsidP="00C76E9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92E3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900" w:type="dxa"/>
            <w:shd w:val="clear" w:color="auto" w:fill="F2F2F2" w:themeFill="background1" w:themeFillShade="F2"/>
            <w:hideMark/>
          </w:tcPr>
          <w:p w:rsidR="00C76E95" w:rsidRPr="00492E3B" w:rsidRDefault="00C76E95" w:rsidP="00C76E9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92E3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990" w:type="dxa"/>
            <w:shd w:val="clear" w:color="auto" w:fill="F2F2F2" w:themeFill="background1" w:themeFillShade="F2"/>
            <w:hideMark/>
          </w:tcPr>
          <w:p w:rsidR="00C76E95" w:rsidRPr="00492E3B" w:rsidRDefault="00C76E95" w:rsidP="00C76E9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92E3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990" w:type="dxa"/>
            <w:shd w:val="clear" w:color="auto" w:fill="F2F2F2" w:themeFill="background1" w:themeFillShade="F2"/>
            <w:hideMark/>
          </w:tcPr>
          <w:p w:rsidR="00C76E95" w:rsidRPr="00492E3B" w:rsidRDefault="00C76E95" w:rsidP="00C76E9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92E3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990" w:type="dxa"/>
            <w:shd w:val="clear" w:color="auto" w:fill="F2F2F2" w:themeFill="background1" w:themeFillShade="F2"/>
            <w:hideMark/>
          </w:tcPr>
          <w:p w:rsidR="00C76E95" w:rsidRPr="00492E3B" w:rsidRDefault="00C76E95" w:rsidP="00C76E9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2E3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</w:tr>
      <w:tr w:rsidR="00492E3B" w:rsidRPr="00492E3B" w:rsidTr="000E531F">
        <w:trPr>
          <w:trHeight w:val="636"/>
          <w:jc w:val="center"/>
        </w:trPr>
        <w:tc>
          <w:tcPr>
            <w:tcW w:w="4405" w:type="dxa"/>
            <w:vAlign w:val="center"/>
          </w:tcPr>
          <w:p w:rsidR="00492E3B" w:rsidRPr="00492E3B" w:rsidRDefault="00374A36" w:rsidP="00374A36">
            <w:pPr>
              <w:pStyle w:val="a8"/>
              <w:spacing w:before="0" w:after="0" w:line="192" w:lineRule="auto"/>
              <w:textAlignment w:val="top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Tahoma" w:hAnsi="TH SarabunPSK" w:cs="TH SarabunPSK"/>
                <w:color w:val="000000" w:themeColor="text1"/>
                <w:kern w:val="24"/>
                <w:sz w:val="32"/>
                <w:szCs w:val="32"/>
                <w:cs/>
                <w:lang w:bidi="th-TH"/>
              </w:rPr>
              <w:t>ด้านการศึ</w:t>
            </w:r>
            <w:r>
              <w:rPr>
                <w:rFonts w:ascii="TH SarabunPSK" w:eastAsia="Tahoma" w:hAnsi="TH SarabunPSK" w:cs="TH SarabunPSK" w:hint="cs"/>
                <w:color w:val="000000" w:themeColor="text1"/>
                <w:kern w:val="24"/>
                <w:sz w:val="32"/>
                <w:szCs w:val="32"/>
                <w:cs/>
                <w:lang w:bidi="th-TH"/>
              </w:rPr>
              <w:t>กษา (</w:t>
            </w:r>
            <w:r w:rsidR="00492E3B" w:rsidRPr="00492E3B">
              <w:rPr>
                <w:rFonts w:ascii="TH SarabunPSK" w:eastAsia="Tahoma" w:hAnsi="TH SarabunPSK" w:cs="TH SarabunPSK"/>
                <w:color w:val="000000" w:themeColor="text1"/>
                <w:kern w:val="24"/>
                <w:sz w:val="32"/>
                <w:szCs w:val="32"/>
              </w:rPr>
              <w:t xml:space="preserve">Education) </w:t>
            </w:r>
          </w:p>
        </w:tc>
        <w:tc>
          <w:tcPr>
            <w:tcW w:w="900" w:type="dxa"/>
            <w:vAlign w:val="center"/>
          </w:tcPr>
          <w:p w:rsidR="00492E3B" w:rsidRPr="00492E3B" w:rsidRDefault="00492E3B" w:rsidP="00492E3B">
            <w:pPr>
              <w:pStyle w:val="a8"/>
              <w:spacing w:before="0" w:after="0"/>
              <w:jc w:val="center"/>
              <w:textAlignment w:val="center"/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492E3B">
              <w:rPr>
                <w:rFonts w:ascii="TH SarabunPSK" w:eastAsia="Tahoma" w:hAnsi="TH SarabunPSK" w:cs="TH SarabunPSK"/>
                <w:color w:val="000000"/>
                <w:kern w:val="24"/>
                <w:sz w:val="32"/>
                <w:szCs w:val="32"/>
              </w:rPr>
              <w:t>55</w:t>
            </w:r>
          </w:p>
        </w:tc>
        <w:tc>
          <w:tcPr>
            <w:tcW w:w="900" w:type="dxa"/>
            <w:vAlign w:val="center"/>
          </w:tcPr>
          <w:p w:rsidR="00492E3B" w:rsidRPr="00492E3B" w:rsidRDefault="00492E3B" w:rsidP="00492E3B">
            <w:pPr>
              <w:pStyle w:val="a8"/>
              <w:spacing w:before="0" w:after="0"/>
              <w:jc w:val="center"/>
              <w:textAlignment w:val="center"/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492E3B">
              <w:rPr>
                <w:rFonts w:ascii="TH SarabunPSK" w:eastAsia="Tahoma" w:hAnsi="TH SarabunPSK" w:cs="TH SarabunPSK"/>
                <w:color w:val="000000"/>
                <w:kern w:val="24"/>
                <w:sz w:val="32"/>
                <w:szCs w:val="32"/>
              </w:rPr>
              <w:t>53</w:t>
            </w:r>
          </w:p>
        </w:tc>
        <w:tc>
          <w:tcPr>
            <w:tcW w:w="990" w:type="dxa"/>
            <w:vAlign w:val="center"/>
          </w:tcPr>
          <w:p w:rsidR="00492E3B" w:rsidRPr="00492E3B" w:rsidRDefault="00492E3B" w:rsidP="00492E3B">
            <w:pPr>
              <w:pStyle w:val="a8"/>
              <w:spacing w:before="0" w:after="0"/>
              <w:jc w:val="center"/>
              <w:textAlignment w:val="center"/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492E3B">
              <w:rPr>
                <w:rFonts w:ascii="TH SarabunPSK" w:eastAsia="Tahoma" w:hAnsi="TH SarabunPSK" w:cs="TH SarabunPSK"/>
                <w:color w:val="000000"/>
                <w:kern w:val="24"/>
                <w:sz w:val="32"/>
                <w:szCs w:val="32"/>
              </w:rPr>
              <w:t>51</w:t>
            </w:r>
          </w:p>
        </w:tc>
        <w:tc>
          <w:tcPr>
            <w:tcW w:w="990" w:type="dxa"/>
            <w:vAlign w:val="center"/>
          </w:tcPr>
          <w:p w:rsidR="00492E3B" w:rsidRPr="00492E3B" w:rsidRDefault="00492E3B" w:rsidP="00492E3B">
            <w:pPr>
              <w:pStyle w:val="a8"/>
              <w:spacing w:before="0" w:after="0"/>
              <w:jc w:val="center"/>
              <w:textAlignment w:val="center"/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492E3B">
              <w:rPr>
                <w:rFonts w:ascii="TH SarabunPSK" w:eastAsia="Tahoma" w:hAnsi="TH SarabunPSK" w:cs="TH SarabunPSK"/>
                <w:color w:val="000000"/>
                <w:kern w:val="24"/>
                <w:sz w:val="32"/>
                <w:szCs w:val="32"/>
              </w:rPr>
              <w:t>49</w:t>
            </w:r>
          </w:p>
        </w:tc>
        <w:tc>
          <w:tcPr>
            <w:tcW w:w="990" w:type="dxa"/>
            <w:vAlign w:val="center"/>
          </w:tcPr>
          <w:p w:rsidR="00492E3B" w:rsidRPr="00492E3B" w:rsidRDefault="00492E3B" w:rsidP="00492E3B">
            <w:pPr>
              <w:pStyle w:val="a8"/>
              <w:spacing w:before="0" w:after="0"/>
              <w:jc w:val="center"/>
              <w:textAlignment w:val="center"/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492E3B">
              <w:rPr>
                <w:rFonts w:ascii="TH SarabunPSK" w:eastAsia="Tahoma" w:hAnsi="TH SarabunPSK" w:cs="TH SarabunPSK"/>
                <w:color w:val="000000"/>
                <w:kern w:val="24"/>
                <w:sz w:val="32"/>
                <w:szCs w:val="32"/>
              </w:rPr>
              <w:t>47</w:t>
            </w:r>
          </w:p>
        </w:tc>
      </w:tr>
      <w:tr w:rsidR="00492E3B" w:rsidRPr="00492E3B" w:rsidTr="000E531F">
        <w:trPr>
          <w:trHeight w:val="1113"/>
          <w:jc w:val="center"/>
        </w:trPr>
        <w:tc>
          <w:tcPr>
            <w:tcW w:w="4405" w:type="dxa"/>
            <w:vAlign w:val="center"/>
          </w:tcPr>
          <w:p w:rsidR="00492E3B" w:rsidRPr="00492E3B" w:rsidRDefault="00492E3B" w:rsidP="00492E3B">
            <w:pPr>
              <w:pStyle w:val="a8"/>
              <w:spacing w:before="0" w:after="0" w:line="192" w:lineRule="auto"/>
              <w:textAlignment w:val="top"/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492E3B">
              <w:rPr>
                <w:rFonts w:ascii="TH SarabunPSK" w:eastAsia="Tahoma" w:hAnsi="TH SarabunPSK" w:cs="TH SarabunPSK"/>
                <w:color w:val="000000" w:themeColor="text1"/>
                <w:kern w:val="24"/>
                <w:sz w:val="32"/>
                <w:szCs w:val="32"/>
                <w:cs/>
                <w:lang w:bidi="th-TH"/>
              </w:rPr>
              <w:t xml:space="preserve">ด้านความคิดเห็นต่อการตอบสนองความสามารถในการแข่งขันทางเศรษฐกิจของระบบการศึกษา </w:t>
            </w:r>
            <w:r w:rsidR="00374A36">
              <w:rPr>
                <w:rFonts w:ascii="TH SarabunPSK" w:eastAsia="Tahoma" w:hAnsi="TH SarabunPSK" w:cs="TH SarabunPSK"/>
                <w:color w:val="000000" w:themeColor="text1"/>
                <w:kern w:val="24"/>
                <w:sz w:val="32"/>
                <w:szCs w:val="32"/>
                <w:lang w:bidi="th-TH"/>
              </w:rPr>
              <w:t>(</w:t>
            </w:r>
            <w:r w:rsidRPr="00492E3B">
              <w:rPr>
                <w:rFonts w:ascii="TH SarabunPSK" w:eastAsia="Tahoma" w:hAnsi="TH SarabunPSK" w:cs="TH SarabunPSK"/>
                <w:color w:val="000000" w:themeColor="text1"/>
                <w:kern w:val="24"/>
                <w:sz w:val="32"/>
                <w:szCs w:val="32"/>
              </w:rPr>
              <w:t>Educational System)</w:t>
            </w:r>
          </w:p>
        </w:tc>
        <w:tc>
          <w:tcPr>
            <w:tcW w:w="900" w:type="dxa"/>
            <w:vAlign w:val="center"/>
          </w:tcPr>
          <w:p w:rsidR="00492E3B" w:rsidRPr="00492E3B" w:rsidRDefault="00492E3B" w:rsidP="00492E3B">
            <w:pPr>
              <w:pStyle w:val="a8"/>
              <w:spacing w:before="0" w:after="0" w:line="192" w:lineRule="auto"/>
              <w:jc w:val="center"/>
              <w:textAlignment w:val="top"/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492E3B">
              <w:rPr>
                <w:rFonts w:ascii="TH SarabunPSK" w:eastAsia="Tahoma" w:hAnsi="TH SarabunPSK" w:cs="TH SarabunPSK"/>
                <w:color w:val="000000"/>
                <w:kern w:val="24"/>
                <w:sz w:val="32"/>
                <w:szCs w:val="32"/>
              </w:rPr>
              <w:t>50</w:t>
            </w:r>
          </w:p>
        </w:tc>
        <w:tc>
          <w:tcPr>
            <w:tcW w:w="900" w:type="dxa"/>
            <w:vAlign w:val="center"/>
          </w:tcPr>
          <w:p w:rsidR="00492E3B" w:rsidRPr="00492E3B" w:rsidRDefault="00492E3B" w:rsidP="00492E3B">
            <w:pPr>
              <w:pStyle w:val="a8"/>
              <w:spacing w:before="0" w:after="0" w:line="192" w:lineRule="auto"/>
              <w:jc w:val="center"/>
              <w:textAlignment w:val="top"/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492E3B">
              <w:rPr>
                <w:rFonts w:ascii="TH SarabunPSK" w:eastAsia="Tahoma" w:hAnsi="TH SarabunPSK" w:cs="TH SarabunPSK"/>
                <w:color w:val="000000"/>
                <w:kern w:val="24"/>
                <w:sz w:val="32"/>
                <w:szCs w:val="32"/>
              </w:rPr>
              <w:t>48</w:t>
            </w:r>
          </w:p>
        </w:tc>
        <w:tc>
          <w:tcPr>
            <w:tcW w:w="990" w:type="dxa"/>
            <w:vAlign w:val="center"/>
          </w:tcPr>
          <w:p w:rsidR="00492E3B" w:rsidRPr="00492E3B" w:rsidRDefault="00492E3B" w:rsidP="00492E3B">
            <w:pPr>
              <w:pStyle w:val="a8"/>
              <w:spacing w:before="0" w:after="0" w:line="192" w:lineRule="auto"/>
              <w:jc w:val="center"/>
              <w:textAlignment w:val="top"/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492E3B">
              <w:rPr>
                <w:rFonts w:ascii="TH SarabunPSK" w:eastAsia="Tahoma" w:hAnsi="TH SarabunPSK" w:cs="TH SarabunPSK"/>
                <w:color w:val="000000"/>
                <w:kern w:val="24"/>
                <w:sz w:val="32"/>
                <w:szCs w:val="32"/>
              </w:rPr>
              <w:t>46</w:t>
            </w:r>
          </w:p>
        </w:tc>
        <w:tc>
          <w:tcPr>
            <w:tcW w:w="990" w:type="dxa"/>
            <w:vAlign w:val="center"/>
          </w:tcPr>
          <w:p w:rsidR="00492E3B" w:rsidRPr="00492E3B" w:rsidRDefault="00492E3B" w:rsidP="00492E3B">
            <w:pPr>
              <w:pStyle w:val="a8"/>
              <w:spacing w:before="0" w:after="0" w:line="192" w:lineRule="auto"/>
              <w:jc w:val="center"/>
              <w:textAlignment w:val="top"/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492E3B">
              <w:rPr>
                <w:rFonts w:ascii="TH SarabunPSK" w:eastAsia="Tahoma" w:hAnsi="TH SarabunPSK" w:cs="TH SarabunPSK"/>
                <w:color w:val="000000"/>
                <w:kern w:val="24"/>
                <w:sz w:val="32"/>
                <w:szCs w:val="32"/>
              </w:rPr>
              <w:t>44</w:t>
            </w:r>
          </w:p>
        </w:tc>
        <w:tc>
          <w:tcPr>
            <w:tcW w:w="990" w:type="dxa"/>
            <w:vAlign w:val="center"/>
          </w:tcPr>
          <w:p w:rsidR="00492E3B" w:rsidRPr="00492E3B" w:rsidRDefault="00492E3B" w:rsidP="00492E3B">
            <w:pPr>
              <w:pStyle w:val="a8"/>
              <w:spacing w:before="0" w:after="0" w:line="192" w:lineRule="auto"/>
              <w:jc w:val="center"/>
              <w:textAlignment w:val="top"/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492E3B">
              <w:rPr>
                <w:rFonts w:ascii="TH SarabunPSK" w:eastAsia="Tahoma" w:hAnsi="TH SarabunPSK" w:cs="TH SarabunPSK"/>
                <w:color w:val="000000"/>
                <w:kern w:val="24"/>
                <w:sz w:val="32"/>
                <w:szCs w:val="32"/>
              </w:rPr>
              <w:t>42</w:t>
            </w:r>
          </w:p>
        </w:tc>
      </w:tr>
    </w:tbl>
    <w:p w:rsidR="00F06220" w:rsidRPr="00492E3B" w:rsidRDefault="00F06220" w:rsidP="00F06220">
      <w:pPr>
        <w:jc w:val="thaiDistribute"/>
        <w:rPr>
          <w:rFonts w:ascii="TH SarabunPSK" w:hAnsi="TH SarabunPSK" w:cs="TH SarabunPSK"/>
          <w:b/>
          <w:bCs/>
        </w:rPr>
      </w:pPr>
      <w:r w:rsidRPr="00492E3B">
        <w:rPr>
          <w:rFonts w:ascii="TH SarabunPSK" w:hAnsi="TH SarabunPSK" w:cs="TH SarabunPSK"/>
          <w:b/>
          <w:bCs/>
          <w:cs/>
        </w:rPr>
        <w:t xml:space="preserve">หมายเหตุ </w:t>
      </w:r>
      <w:r w:rsidRPr="00492E3B">
        <w:rPr>
          <w:rFonts w:ascii="TH SarabunPSK" w:hAnsi="TH SarabunPSK" w:cs="TH SarabunPSK"/>
          <w:b/>
          <w:bCs/>
        </w:rPr>
        <w:t xml:space="preserve">: </w:t>
      </w:r>
      <w:r w:rsidRPr="00492E3B">
        <w:rPr>
          <w:rFonts w:ascii="TH SarabunPSK" w:hAnsi="TH SarabunPSK" w:cs="TH SarabunPSK"/>
          <w:cs/>
        </w:rPr>
        <w:t xml:space="preserve">ค่าคะแนนระดับ </w:t>
      </w:r>
      <w:r w:rsidRPr="00492E3B">
        <w:rPr>
          <w:rFonts w:ascii="TH SarabunPSK" w:hAnsi="TH SarabunPSK" w:cs="TH SarabunPSK"/>
        </w:rPr>
        <w:t xml:space="preserve">3 </w:t>
      </w:r>
      <w:r w:rsidRPr="00492E3B">
        <w:rPr>
          <w:rFonts w:ascii="TH SarabunPSK" w:hAnsi="TH SarabunPSK" w:cs="TH SarabunPSK"/>
          <w:cs/>
        </w:rPr>
        <w:t xml:space="preserve">กำหนดผลการดำเนินงานย้อนหลัง </w:t>
      </w:r>
      <w:r w:rsidRPr="00492E3B">
        <w:rPr>
          <w:rFonts w:ascii="TH SarabunPSK" w:hAnsi="TH SarabunPSK" w:cs="TH SarabunPSK"/>
        </w:rPr>
        <w:t>3</w:t>
      </w:r>
      <w:r w:rsidRPr="00492E3B">
        <w:rPr>
          <w:rFonts w:ascii="TH SarabunPSK" w:hAnsi="TH SarabunPSK" w:cs="TH SarabunPSK"/>
          <w:cs/>
        </w:rPr>
        <w:t xml:space="preserve"> ปี</w:t>
      </w:r>
      <w:r w:rsidRPr="00492E3B">
        <w:rPr>
          <w:rFonts w:ascii="TH SarabunPSK" w:hAnsi="TH SarabunPSK" w:cs="TH SarabunPSK"/>
        </w:rPr>
        <w:t xml:space="preserve"> </w:t>
      </w:r>
      <w:r w:rsidRPr="00492E3B">
        <w:rPr>
          <w:rFonts w:ascii="TH SarabunPSK" w:hAnsi="TH SarabunPSK" w:cs="TH SarabunPSK"/>
          <w:cs/>
        </w:rPr>
        <w:t xml:space="preserve">เฉพาะ </w:t>
      </w:r>
      <w:r w:rsidRPr="00492E3B">
        <w:rPr>
          <w:rFonts w:ascii="TH SarabunPSK" w:hAnsi="TH SarabunPSK" w:cs="TH SarabunPSK"/>
        </w:rPr>
        <w:t>Education</w:t>
      </w:r>
      <w:r w:rsidRPr="00492E3B">
        <w:rPr>
          <w:rFonts w:ascii="TH SarabunPSK" w:hAnsi="TH SarabunPSK" w:cs="TH SarabunPSK"/>
          <w:cs/>
        </w:rPr>
        <w:t xml:space="preserve"> และ </w:t>
      </w:r>
      <w:r w:rsidRPr="00492E3B">
        <w:rPr>
          <w:rFonts w:ascii="TH SarabunPSK" w:hAnsi="TH SarabunPSK" w:cs="TH SarabunPSK"/>
        </w:rPr>
        <w:t>Educational System</w:t>
      </w:r>
    </w:p>
    <w:p w:rsidR="00C76E95" w:rsidRPr="00F06220" w:rsidRDefault="00C76E95" w:rsidP="00103554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103554" w:rsidRPr="004527E0" w:rsidRDefault="00103554" w:rsidP="00103554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 w:rsidRPr="004527E0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รายละเอียดข้อมูลพื้นฐาน</w:t>
      </w:r>
      <w:r w:rsidRPr="004527E0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1080"/>
        <w:gridCol w:w="1416"/>
        <w:gridCol w:w="1416"/>
        <w:gridCol w:w="1416"/>
      </w:tblGrid>
      <w:tr w:rsidR="004527E0" w:rsidRPr="004527E0" w:rsidTr="000E531F">
        <w:trPr>
          <w:jc w:val="center"/>
        </w:trPr>
        <w:tc>
          <w:tcPr>
            <w:tcW w:w="3960" w:type="dxa"/>
            <w:vMerge w:val="restart"/>
            <w:shd w:val="clear" w:color="auto" w:fill="auto"/>
            <w:vAlign w:val="center"/>
          </w:tcPr>
          <w:p w:rsidR="00103554" w:rsidRPr="004527E0" w:rsidRDefault="00103554" w:rsidP="008443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52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103554" w:rsidRPr="004527E0" w:rsidRDefault="00103554" w:rsidP="008443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52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248" w:type="dxa"/>
            <w:gridSpan w:val="3"/>
            <w:shd w:val="clear" w:color="auto" w:fill="auto"/>
            <w:vAlign w:val="center"/>
          </w:tcPr>
          <w:p w:rsidR="00103554" w:rsidRPr="004527E0" w:rsidRDefault="00103554" w:rsidP="008443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52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ผลการดำเนินงานในอดีต ปีงบประมาณ พ.ศ.</w:t>
            </w:r>
          </w:p>
        </w:tc>
      </w:tr>
      <w:tr w:rsidR="004527E0" w:rsidRPr="004527E0" w:rsidTr="000E531F">
        <w:trPr>
          <w:jc w:val="center"/>
        </w:trPr>
        <w:tc>
          <w:tcPr>
            <w:tcW w:w="3960" w:type="dxa"/>
            <w:vMerge/>
            <w:shd w:val="clear" w:color="auto" w:fill="auto"/>
            <w:vAlign w:val="center"/>
          </w:tcPr>
          <w:p w:rsidR="00103554" w:rsidRPr="004527E0" w:rsidRDefault="00103554" w:rsidP="008443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103554" w:rsidRPr="004527E0" w:rsidRDefault="00103554" w:rsidP="008443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03554" w:rsidRPr="004527E0" w:rsidRDefault="00103554" w:rsidP="008443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52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255</w:t>
            </w:r>
            <w:r w:rsidR="00DA31C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103554" w:rsidRPr="004527E0" w:rsidRDefault="00DA31CB" w:rsidP="008443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103554" w:rsidRPr="004527E0" w:rsidRDefault="00DA31CB" w:rsidP="008443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2558</w:t>
            </w:r>
          </w:p>
        </w:tc>
      </w:tr>
      <w:tr w:rsidR="004527E0" w:rsidRPr="004527E0" w:rsidTr="000E531F">
        <w:trPr>
          <w:jc w:val="center"/>
        </w:trPr>
        <w:tc>
          <w:tcPr>
            <w:tcW w:w="3960" w:type="dxa"/>
          </w:tcPr>
          <w:p w:rsidR="00DA31CB" w:rsidRPr="00492E3B" w:rsidRDefault="00492E3B" w:rsidP="00DA31C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92E3B">
              <w:rPr>
                <w:rFonts w:ascii="TH SarabunPSK" w:eastAsia="Times New Roman" w:hAnsi="TH SarabunPSK" w:cs="TH SarabunPSK"/>
                <w:cs/>
              </w:rPr>
              <w:t>ขีดความสามารถในการแข่งขันด้านการศึกษาของประเทศไทยจากรายงาน (</w:t>
            </w:r>
            <w:r w:rsidRPr="00492E3B">
              <w:rPr>
                <w:rFonts w:ascii="TH SarabunPSK" w:eastAsia="Times New Roman" w:hAnsi="TH SarabunPSK" w:cs="TH SarabunPSK"/>
              </w:rPr>
              <w:t>IMD 2016)</w:t>
            </w:r>
          </w:p>
        </w:tc>
        <w:tc>
          <w:tcPr>
            <w:tcW w:w="1080" w:type="dxa"/>
          </w:tcPr>
          <w:p w:rsidR="00103554" w:rsidRPr="004527E0" w:rsidRDefault="00103554" w:rsidP="008443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6" w:type="dxa"/>
          </w:tcPr>
          <w:p w:rsidR="00103554" w:rsidRPr="004527E0" w:rsidRDefault="00103554" w:rsidP="008443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6" w:type="dxa"/>
          </w:tcPr>
          <w:p w:rsidR="00103554" w:rsidRPr="004527E0" w:rsidRDefault="00103554" w:rsidP="008443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6" w:type="dxa"/>
          </w:tcPr>
          <w:p w:rsidR="00103554" w:rsidRPr="004527E0" w:rsidRDefault="00103554" w:rsidP="008443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92E3B" w:rsidRPr="004527E0" w:rsidTr="000E531F">
        <w:trPr>
          <w:jc w:val="center"/>
        </w:trPr>
        <w:tc>
          <w:tcPr>
            <w:tcW w:w="3960" w:type="dxa"/>
          </w:tcPr>
          <w:p w:rsidR="00492E3B" w:rsidRPr="00492E3B" w:rsidRDefault="00492E3B" w:rsidP="00492E3B">
            <w:pPr>
              <w:pStyle w:val="af0"/>
              <w:numPr>
                <w:ilvl w:val="0"/>
                <w:numId w:val="21"/>
              </w:numPr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/>
              </w:rPr>
              <w:t>Educational</w:t>
            </w:r>
          </w:p>
        </w:tc>
        <w:tc>
          <w:tcPr>
            <w:tcW w:w="1080" w:type="dxa"/>
          </w:tcPr>
          <w:p w:rsidR="00492E3B" w:rsidRDefault="00492E3B" w:rsidP="0084437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6" w:type="dxa"/>
          </w:tcPr>
          <w:p w:rsidR="00492E3B" w:rsidRPr="004527E0" w:rsidRDefault="00492E3B" w:rsidP="008443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51</w:t>
            </w:r>
          </w:p>
        </w:tc>
        <w:tc>
          <w:tcPr>
            <w:tcW w:w="1416" w:type="dxa"/>
          </w:tcPr>
          <w:p w:rsidR="00492E3B" w:rsidRPr="004527E0" w:rsidRDefault="00492E3B" w:rsidP="008443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54</w:t>
            </w:r>
          </w:p>
        </w:tc>
        <w:tc>
          <w:tcPr>
            <w:tcW w:w="1416" w:type="dxa"/>
          </w:tcPr>
          <w:p w:rsidR="00492E3B" w:rsidRPr="004527E0" w:rsidRDefault="00492E3B" w:rsidP="008443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48</w:t>
            </w:r>
          </w:p>
        </w:tc>
      </w:tr>
      <w:tr w:rsidR="00492E3B" w:rsidRPr="004527E0" w:rsidTr="000E531F">
        <w:trPr>
          <w:jc w:val="center"/>
        </w:trPr>
        <w:tc>
          <w:tcPr>
            <w:tcW w:w="3960" w:type="dxa"/>
          </w:tcPr>
          <w:p w:rsidR="00492E3B" w:rsidRDefault="00492E3B" w:rsidP="00492E3B">
            <w:pPr>
              <w:pStyle w:val="af0"/>
              <w:numPr>
                <w:ilvl w:val="0"/>
                <w:numId w:val="21"/>
              </w:numPr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/>
              </w:rPr>
              <w:t>Educational System</w:t>
            </w:r>
          </w:p>
        </w:tc>
        <w:tc>
          <w:tcPr>
            <w:tcW w:w="1080" w:type="dxa"/>
          </w:tcPr>
          <w:p w:rsidR="00492E3B" w:rsidRDefault="00492E3B" w:rsidP="0084437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6" w:type="dxa"/>
          </w:tcPr>
          <w:p w:rsidR="00492E3B" w:rsidRDefault="00492E3B" w:rsidP="008443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43</w:t>
            </w:r>
          </w:p>
        </w:tc>
        <w:tc>
          <w:tcPr>
            <w:tcW w:w="1416" w:type="dxa"/>
          </w:tcPr>
          <w:p w:rsidR="00492E3B" w:rsidRDefault="00492E3B" w:rsidP="008443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49</w:t>
            </w:r>
          </w:p>
        </w:tc>
        <w:tc>
          <w:tcPr>
            <w:tcW w:w="1416" w:type="dxa"/>
          </w:tcPr>
          <w:p w:rsidR="00492E3B" w:rsidRDefault="00492E3B" w:rsidP="008443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46</w:t>
            </w:r>
          </w:p>
        </w:tc>
      </w:tr>
      <w:tr w:rsidR="00492E3B" w:rsidRPr="004527E0" w:rsidTr="000E531F">
        <w:trPr>
          <w:jc w:val="center"/>
        </w:trPr>
        <w:tc>
          <w:tcPr>
            <w:tcW w:w="3960" w:type="dxa"/>
          </w:tcPr>
          <w:p w:rsidR="00492E3B" w:rsidRDefault="00492E3B" w:rsidP="00492E3B">
            <w:pPr>
              <w:pStyle w:val="af0"/>
              <w:numPr>
                <w:ilvl w:val="0"/>
                <w:numId w:val="21"/>
              </w:numPr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/>
              </w:rPr>
              <w:t>University Education</w:t>
            </w:r>
          </w:p>
        </w:tc>
        <w:tc>
          <w:tcPr>
            <w:tcW w:w="1080" w:type="dxa"/>
          </w:tcPr>
          <w:p w:rsidR="00492E3B" w:rsidRDefault="00492E3B" w:rsidP="0084437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6" w:type="dxa"/>
          </w:tcPr>
          <w:p w:rsidR="00492E3B" w:rsidRDefault="00492E3B" w:rsidP="008443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38</w:t>
            </w:r>
          </w:p>
        </w:tc>
        <w:tc>
          <w:tcPr>
            <w:tcW w:w="1416" w:type="dxa"/>
          </w:tcPr>
          <w:p w:rsidR="00492E3B" w:rsidRDefault="00492E3B" w:rsidP="008443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48</w:t>
            </w:r>
          </w:p>
        </w:tc>
        <w:tc>
          <w:tcPr>
            <w:tcW w:w="1416" w:type="dxa"/>
          </w:tcPr>
          <w:p w:rsidR="00492E3B" w:rsidRDefault="00492E3B" w:rsidP="008443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53</w:t>
            </w:r>
          </w:p>
        </w:tc>
      </w:tr>
    </w:tbl>
    <w:p w:rsidR="00492E3B" w:rsidRDefault="00492E3B" w:rsidP="00103554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492E3B" w:rsidRDefault="00492E3B" w:rsidP="00103554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sectPr w:rsidR="00492E3B" w:rsidSect="00374A36">
      <w:pgSz w:w="11906" w:h="16838"/>
      <w:pgMar w:top="1559" w:right="1559" w:bottom="1559" w:left="1559" w:header="709" w:footer="709" w:gutter="0"/>
      <w:pgNumType w:start="1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D75" w:rsidRDefault="006C6D75" w:rsidP="00703182">
      <w:r>
        <w:separator/>
      </w:r>
    </w:p>
  </w:endnote>
  <w:endnote w:type="continuationSeparator" w:id="0">
    <w:p w:rsidR="006C6D75" w:rsidRDefault="006C6D75" w:rsidP="00703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D75" w:rsidRDefault="006C6D75" w:rsidP="00703182">
      <w:r>
        <w:separator/>
      </w:r>
    </w:p>
  </w:footnote>
  <w:footnote w:type="continuationSeparator" w:id="0">
    <w:p w:rsidR="006C6D75" w:rsidRDefault="006C6D75" w:rsidP="007031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16793"/>
    <w:multiLevelType w:val="hybridMultilevel"/>
    <w:tmpl w:val="258CEB4C"/>
    <w:lvl w:ilvl="0" w:tplc="50344FE2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  <w:sz w:val="28"/>
        <w:szCs w:val="28"/>
      </w:rPr>
    </w:lvl>
    <w:lvl w:ilvl="1" w:tplc="0409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2" w:tplc="2C2E3EF0">
      <w:start w:val="5"/>
      <w:numFmt w:val="bullet"/>
      <w:lvlText w:val="-"/>
      <w:lvlJc w:val="left"/>
      <w:pPr>
        <w:ind w:left="3578" w:hanging="360"/>
      </w:pPr>
      <w:rPr>
        <w:rFonts w:ascii="Browallia New" w:eastAsia="PMingLiU" w:hAnsi="Browallia New" w:cs="Browallia New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15D40903"/>
    <w:multiLevelType w:val="hybridMultilevel"/>
    <w:tmpl w:val="E9B2119C"/>
    <w:lvl w:ilvl="0" w:tplc="E254609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A232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A847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C8E0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860F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0E63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1E45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68A1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E816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3403FB"/>
    <w:multiLevelType w:val="hybridMultilevel"/>
    <w:tmpl w:val="ADB23ADC"/>
    <w:lvl w:ilvl="0" w:tplc="5FC6BD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F4A4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5104D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466A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5455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8C95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6EBD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CACA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50B5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865E46"/>
    <w:multiLevelType w:val="hybridMultilevel"/>
    <w:tmpl w:val="B28C2A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7462B7"/>
    <w:multiLevelType w:val="hybridMultilevel"/>
    <w:tmpl w:val="C75224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FE675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9430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3616B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6A97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78EBC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6C32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0CB3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EA855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FB27CE"/>
    <w:multiLevelType w:val="hybridMultilevel"/>
    <w:tmpl w:val="B4FCD8D8"/>
    <w:lvl w:ilvl="0" w:tplc="59E65B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E5C46ED"/>
    <w:multiLevelType w:val="hybridMultilevel"/>
    <w:tmpl w:val="14A41944"/>
    <w:lvl w:ilvl="0" w:tplc="DB109EB6">
      <w:start w:val="1"/>
      <w:numFmt w:val="decimal"/>
      <w:lvlText w:val="%1)"/>
      <w:lvlJc w:val="left"/>
      <w:pPr>
        <w:ind w:left="720" w:hanging="360"/>
      </w:pPr>
      <w:rPr>
        <w:rFonts w:eastAsia="BrowalliaNew-Bold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97397A"/>
    <w:multiLevelType w:val="hybridMultilevel"/>
    <w:tmpl w:val="1CC2B9C2"/>
    <w:lvl w:ilvl="0" w:tplc="EF063AB8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8FE2FAE"/>
    <w:multiLevelType w:val="hybridMultilevel"/>
    <w:tmpl w:val="A3D0EA24"/>
    <w:lvl w:ilvl="0" w:tplc="01FA35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FE675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9430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3616B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6A97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78EBC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6C32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0CB3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EA855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0959EB"/>
    <w:multiLevelType w:val="singleLevel"/>
    <w:tmpl w:val="2D0ECE6E"/>
    <w:lvl w:ilvl="0">
      <w:start w:val="1"/>
      <w:numFmt w:val="bullet"/>
      <w:pStyle w:val="First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10">
    <w:nsid w:val="3F5C5EDC"/>
    <w:multiLevelType w:val="hybridMultilevel"/>
    <w:tmpl w:val="318C1572"/>
    <w:lvl w:ilvl="0" w:tplc="5D8AD7A4">
      <w:start w:val="3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38024E"/>
    <w:multiLevelType w:val="hybridMultilevel"/>
    <w:tmpl w:val="A9AEEBB6"/>
    <w:lvl w:ilvl="0" w:tplc="04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5B205242">
      <w:start w:val="1"/>
      <w:numFmt w:val="bullet"/>
      <w:lvlText w:val=""/>
      <w:lvlJc w:val="left"/>
      <w:pPr>
        <w:ind w:left="2858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4F2866FC"/>
    <w:multiLevelType w:val="hybridMultilevel"/>
    <w:tmpl w:val="6346F792"/>
    <w:lvl w:ilvl="0" w:tplc="5B205242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3">
    <w:nsid w:val="54254E88"/>
    <w:multiLevelType w:val="hybridMultilevel"/>
    <w:tmpl w:val="FC76C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5410E3"/>
    <w:multiLevelType w:val="hybridMultilevel"/>
    <w:tmpl w:val="8D50AEBC"/>
    <w:lvl w:ilvl="0" w:tplc="7E0E40A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685646"/>
    <w:multiLevelType w:val="singleLevel"/>
    <w:tmpl w:val="61CC3DC4"/>
    <w:lvl w:ilvl="0">
      <w:start w:val="1"/>
      <w:numFmt w:val="bullet"/>
      <w:pStyle w:val="BO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6">
    <w:nsid w:val="6AD41EFB"/>
    <w:multiLevelType w:val="hybridMultilevel"/>
    <w:tmpl w:val="77A201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1E6BEF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EADD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A07E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BC37A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7CA3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7A6E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245E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28CC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53B1E15"/>
    <w:multiLevelType w:val="hybridMultilevel"/>
    <w:tmpl w:val="14A41944"/>
    <w:lvl w:ilvl="0" w:tplc="DB109EB6">
      <w:start w:val="1"/>
      <w:numFmt w:val="decimal"/>
      <w:lvlText w:val="%1)"/>
      <w:lvlJc w:val="left"/>
      <w:pPr>
        <w:ind w:left="720" w:hanging="360"/>
      </w:pPr>
      <w:rPr>
        <w:rFonts w:eastAsia="BrowalliaNew-Bold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65638C"/>
    <w:multiLevelType w:val="hybridMultilevel"/>
    <w:tmpl w:val="47980908"/>
    <w:lvl w:ilvl="0" w:tplc="09F4233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7BC86E9A"/>
    <w:multiLevelType w:val="hybridMultilevel"/>
    <w:tmpl w:val="28BCFC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BDC70A9"/>
    <w:multiLevelType w:val="hybridMultilevel"/>
    <w:tmpl w:val="C97AF20A"/>
    <w:lvl w:ilvl="0" w:tplc="EF063AB8">
      <w:start w:val="1"/>
      <w:numFmt w:val="bullet"/>
      <w:lvlText w:val=""/>
      <w:lvlJc w:val="left"/>
      <w:pPr>
        <w:tabs>
          <w:tab w:val="num" w:pos="1088"/>
        </w:tabs>
        <w:ind w:left="1088" w:hanging="360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1703"/>
        </w:tabs>
        <w:ind w:left="1703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423"/>
        </w:tabs>
        <w:ind w:left="24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43"/>
        </w:tabs>
        <w:ind w:left="31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63"/>
        </w:tabs>
        <w:ind w:left="386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83"/>
        </w:tabs>
        <w:ind w:left="45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03"/>
        </w:tabs>
        <w:ind w:left="53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23"/>
        </w:tabs>
        <w:ind w:left="602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43"/>
        </w:tabs>
        <w:ind w:left="674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4"/>
  </w:num>
  <w:num w:numId="4">
    <w:abstractNumId w:val="9"/>
  </w:num>
  <w:num w:numId="5">
    <w:abstractNumId w:val="15"/>
  </w:num>
  <w:num w:numId="6">
    <w:abstractNumId w:val="12"/>
  </w:num>
  <w:num w:numId="7">
    <w:abstractNumId w:val="13"/>
  </w:num>
  <w:num w:numId="8">
    <w:abstractNumId w:val="3"/>
  </w:num>
  <w:num w:numId="9">
    <w:abstractNumId w:val="5"/>
  </w:num>
  <w:num w:numId="10">
    <w:abstractNumId w:val="18"/>
  </w:num>
  <w:num w:numId="11">
    <w:abstractNumId w:val="17"/>
  </w:num>
  <w:num w:numId="12">
    <w:abstractNumId w:val="6"/>
  </w:num>
  <w:num w:numId="13">
    <w:abstractNumId w:val="20"/>
  </w:num>
  <w:num w:numId="14">
    <w:abstractNumId w:val="7"/>
  </w:num>
  <w:num w:numId="15">
    <w:abstractNumId w:val="19"/>
  </w:num>
  <w:num w:numId="16">
    <w:abstractNumId w:val="16"/>
  </w:num>
  <w:num w:numId="17">
    <w:abstractNumId w:val="8"/>
  </w:num>
  <w:num w:numId="18">
    <w:abstractNumId w:val="4"/>
  </w:num>
  <w:num w:numId="19">
    <w:abstractNumId w:val="2"/>
  </w:num>
  <w:num w:numId="20">
    <w:abstractNumId w:val="1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8F3"/>
    <w:rsid w:val="0002132B"/>
    <w:rsid w:val="00040C67"/>
    <w:rsid w:val="00073D44"/>
    <w:rsid w:val="00093B79"/>
    <w:rsid w:val="000E531F"/>
    <w:rsid w:val="00103554"/>
    <w:rsid w:val="00123AD7"/>
    <w:rsid w:val="00182F7C"/>
    <w:rsid w:val="00184E75"/>
    <w:rsid w:val="002A692F"/>
    <w:rsid w:val="00304AA0"/>
    <w:rsid w:val="00374A36"/>
    <w:rsid w:val="003D0BC0"/>
    <w:rsid w:val="004527E0"/>
    <w:rsid w:val="004612B7"/>
    <w:rsid w:val="00492E3B"/>
    <w:rsid w:val="0049457E"/>
    <w:rsid w:val="004A4230"/>
    <w:rsid w:val="004D4ED3"/>
    <w:rsid w:val="005141E2"/>
    <w:rsid w:val="006C6D75"/>
    <w:rsid w:val="006F3C39"/>
    <w:rsid w:val="00703182"/>
    <w:rsid w:val="007C3AEB"/>
    <w:rsid w:val="00837A81"/>
    <w:rsid w:val="00862A73"/>
    <w:rsid w:val="008C48F0"/>
    <w:rsid w:val="009016DD"/>
    <w:rsid w:val="009208F3"/>
    <w:rsid w:val="00947698"/>
    <w:rsid w:val="009B4297"/>
    <w:rsid w:val="009D4129"/>
    <w:rsid w:val="00A62749"/>
    <w:rsid w:val="00A631EC"/>
    <w:rsid w:val="00A84D36"/>
    <w:rsid w:val="00A947CF"/>
    <w:rsid w:val="00AE55EC"/>
    <w:rsid w:val="00AF1207"/>
    <w:rsid w:val="00B56F12"/>
    <w:rsid w:val="00BA589C"/>
    <w:rsid w:val="00BE515D"/>
    <w:rsid w:val="00BF271E"/>
    <w:rsid w:val="00C23052"/>
    <w:rsid w:val="00C36111"/>
    <w:rsid w:val="00C363C4"/>
    <w:rsid w:val="00C5377B"/>
    <w:rsid w:val="00C756D4"/>
    <w:rsid w:val="00C76E95"/>
    <w:rsid w:val="00CC170E"/>
    <w:rsid w:val="00D84D5C"/>
    <w:rsid w:val="00D969D8"/>
    <w:rsid w:val="00DA31CB"/>
    <w:rsid w:val="00DD20F1"/>
    <w:rsid w:val="00DE763F"/>
    <w:rsid w:val="00E5235A"/>
    <w:rsid w:val="00EE7634"/>
    <w:rsid w:val="00F06220"/>
    <w:rsid w:val="00F06948"/>
    <w:rsid w:val="00F25E46"/>
    <w:rsid w:val="00F26985"/>
    <w:rsid w:val="00F74F9C"/>
    <w:rsid w:val="00FA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207"/>
    <w:pPr>
      <w:spacing w:after="0" w:line="240" w:lineRule="auto"/>
    </w:pPr>
    <w:rPr>
      <w:rFonts w:ascii="Cordia New" w:eastAsia="Cordia New" w:hAnsi="Times New Roman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 อักขระ,อักขระ"/>
    <w:basedOn w:val="a"/>
    <w:link w:val="a4"/>
    <w:rsid w:val="00AF1207"/>
    <w:rPr>
      <w:rFonts w:ascii="MS Sans Serif" w:eastAsia="Times New Roman" w:hAnsi="MS Sans Serif"/>
    </w:rPr>
  </w:style>
  <w:style w:type="character" w:customStyle="1" w:styleId="a4">
    <w:name w:val="ข้อความเชิงอรรถ อักขระ"/>
    <w:aliases w:val=" อักขระ อักขระ,อักขระ อักขระ"/>
    <w:basedOn w:val="a0"/>
    <w:link w:val="a3"/>
    <w:rsid w:val="00AF1207"/>
    <w:rPr>
      <w:rFonts w:ascii="MS Sans Serif" w:eastAsia="Times New Roman" w:hAnsi="MS Sans Serif" w:cs="Cordia New"/>
      <w:sz w:val="28"/>
    </w:rPr>
  </w:style>
  <w:style w:type="paragraph" w:styleId="a5">
    <w:name w:val="header"/>
    <w:basedOn w:val="a"/>
    <w:link w:val="a6"/>
    <w:uiPriority w:val="99"/>
    <w:rsid w:val="00C5377B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a6">
    <w:name w:val="หัวกระดาษ อักขระ"/>
    <w:basedOn w:val="a0"/>
    <w:link w:val="a5"/>
    <w:uiPriority w:val="99"/>
    <w:rsid w:val="00C5377B"/>
    <w:rPr>
      <w:rFonts w:ascii="Cordia New" w:eastAsia="Cordia New" w:hAnsi="Times New Roman" w:cs="Angsana New"/>
      <w:sz w:val="28"/>
      <w:lang w:val="x-none" w:eastAsia="x-none"/>
    </w:rPr>
  </w:style>
  <w:style w:type="character" w:styleId="a7">
    <w:name w:val="Hyperlink"/>
    <w:basedOn w:val="a0"/>
    <w:uiPriority w:val="99"/>
    <w:unhideWhenUsed/>
    <w:rsid w:val="008C48F0"/>
    <w:rPr>
      <w:color w:val="0563C1" w:themeColor="hyperlink"/>
      <w:u w:val="single"/>
    </w:rPr>
  </w:style>
  <w:style w:type="paragraph" w:customStyle="1" w:styleId="Level1Head">
    <w:name w:val="Level 1 Head"/>
    <w:basedOn w:val="a"/>
    <w:rsid w:val="00184E75"/>
    <w:pPr>
      <w:outlineLvl w:val="0"/>
    </w:pPr>
    <w:rPr>
      <w:rFonts w:ascii="Arial" w:eastAsia="Times New Roman" w:hAnsi="Arial" w:cs="Arial"/>
      <w:b/>
      <w:bCs/>
      <w:color w:val="800080"/>
      <w:sz w:val="24"/>
      <w:szCs w:val="24"/>
      <w:lang w:bidi="ar-SA"/>
    </w:rPr>
  </w:style>
  <w:style w:type="paragraph" w:customStyle="1" w:styleId="Level2Head">
    <w:name w:val="Level 2 Head"/>
    <w:rsid w:val="00184E75"/>
    <w:pPr>
      <w:spacing w:after="0" w:line="240" w:lineRule="auto"/>
      <w:outlineLvl w:val="0"/>
    </w:pPr>
    <w:rPr>
      <w:rFonts w:ascii="Times New Roman" w:eastAsia="Times New Roman" w:hAnsi="Times New Roman" w:cs="Angsana New"/>
      <w:b/>
      <w:bCs/>
      <w:noProof/>
      <w:color w:val="800080"/>
      <w:sz w:val="24"/>
      <w:szCs w:val="24"/>
      <w:lang w:bidi="ar-SA"/>
    </w:rPr>
  </w:style>
  <w:style w:type="paragraph" w:customStyle="1" w:styleId="Level3HeadCharCharChar">
    <w:name w:val="Level 3 Head Char Char Char"/>
    <w:rsid w:val="00184E75"/>
    <w:pPr>
      <w:spacing w:after="0" w:line="240" w:lineRule="auto"/>
      <w:outlineLvl w:val="0"/>
    </w:pPr>
    <w:rPr>
      <w:rFonts w:ascii="Times New Roman" w:eastAsia="Times New Roman" w:hAnsi="Times New Roman" w:cs="Angsana New"/>
      <w:b/>
      <w:bCs/>
      <w:noProof/>
      <w:sz w:val="24"/>
      <w:szCs w:val="24"/>
      <w:lang w:bidi="ar-SA"/>
    </w:rPr>
  </w:style>
  <w:style w:type="paragraph" w:styleId="a8">
    <w:name w:val="Normal (Web)"/>
    <w:basedOn w:val="a"/>
    <w:uiPriority w:val="99"/>
    <w:rsid w:val="00184E75"/>
    <w:pPr>
      <w:spacing w:before="40" w:after="40"/>
    </w:pPr>
    <w:rPr>
      <w:rFonts w:ascii="Times New Roman" w:eastAsia="Times New Roman" w:cs="Angsana New"/>
      <w:sz w:val="24"/>
      <w:szCs w:val="24"/>
      <w:lang w:bidi="ar-SA"/>
    </w:rPr>
  </w:style>
  <w:style w:type="paragraph" w:customStyle="1" w:styleId="FirstBullet">
    <w:name w:val="First Bullet"/>
    <w:basedOn w:val="a8"/>
    <w:rsid w:val="00184E75"/>
    <w:pPr>
      <w:numPr>
        <w:numId w:val="4"/>
      </w:numPr>
      <w:tabs>
        <w:tab w:val="clear" w:pos="720"/>
        <w:tab w:val="num" w:pos="270"/>
      </w:tabs>
      <w:spacing w:before="0"/>
      <w:ind w:left="270" w:hanging="270"/>
    </w:pPr>
  </w:style>
  <w:style w:type="paragraph" w:customStyle="1" w:styleId="BOBullet">
    <w:name w:val="BOBullet"/>
    <w:basedOn w:val="a8"/>
    <w:rsid w:val="00184E75"/>
    <w:pPr>
      <w:numPr>
        <w:numId w:val="5"/>
      </w:numPr>
      <w:spacing w:before="0"/>
    </w:pPr>
  </w:style>
  <w:style w:type="paragraph" w:customStyle="1" w:styleId="CriteriaMultipleReq">
    <w:name w:val="Criteria Multiple Req"/>
    <w:basedOn w:val="Level3HeadCharCharChar"/>
    <w:rsid w:val="00184E75"/>
    <w:pPr>
      <w:tabs>
        <w:tab w:val="left" w:pos="810"/>
      </w:tabs>
      <w:ind w:left="810" w:hanging="810"/>
    </w:pPr>
    <w:rPr>
      <w:color w:val="800080"/>
    </w:rPr>
  </w:style>
  <w:style w:type="paragraph" w:styleId="a9">
    <w:name w:val="footer"/>
    <w:basedOn w:val="a"/>
    <w:link w:val="aa"/>
    <w:unhideWhenUsed/>
    <w:rsid w:val="00703182"/>
    <w:pPr>
      <w:tabs>
        <w:tab w:val="center" w:pos="4513"/>
        <w:tab w:val="right" w:pos="9026"/>
      </w:tabs>
    </w:pPr>
    <w:rPr>
      <w:szCs w:val="35"/>
    </w:rPr>
  </w:style>
  <w:style w:type="character" w:customStyle="1" w:styleId="aa">
    <w:name w:val="ท้ายกระดาษ อักขระ"/>
    <w:basedOn w:val="a0"/>
    <w:link w:val="a9"/>
    <w:uiPriority w:val="99"/>
    <w:rsid w:val="00703182"/>
    <w:rPr>
      <w:rFonts w:ascii="Cordia New" w:eastAsia="Cordia New" w:hAnsi="Times New Roman" w:cs="Cordia New"/>
      <w:sz w:val="28"/>
      <w:szCs w:val="35"/>
    </w:rPr>
  </w:style>
  <w:style w:type="character" w:styleId="ab">
    <w:name w:val="page number"/>
    <w:basedOn w:val="a0"/>
    <w:rsid w:val="00703182"/>
  </w:style>
  <w:style w:type="table" w:styleId="ac">
    <w:name w:val="Table Grid"/>
    <w:basedOn w:val="a1"/>
    <w:rsid w:val="00DA31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Title"/>
    <w:basedOn w:val="a"/>
    <w:link w:val="ae"/>
    <w:qFormat/>
    <w:rsid w:val="00837A81"/>
    <w:pPr>
      <w:autoSpaceDE w:val="0"/>
      <w:autoSpaceDN w:val="0"/>
      <w:jc w:val="center"/>
    </w:pPr>
    <w:rPr>
      <w:rFonts w:eastAsia="Times New Roman" w:hAnsi="Cordia New" w:cs="Angsana New"/>
      <w:sz w:val="32"/>
      <w:szCs w:val="32"/>
    </w:rPr>
  </w:style>
  <w:style w:type="character" w:customStyle="1" w:styleId="ae">
    <w:name w:val="ชื่อเรื่อง อักขระ"/>
    <w:basedOn w:val="a0"/>
    <w:link w:val="ad"/>
    <w:rsid w:val="00837A81"/>
    <w:rPr>
      <w:rFonts w:ascii="Cordia New" w:eastAsia="Times New Roman" w:hAnsi="Cordia New" w:cs="Angsana New"/>
      <w:sz w:val="32"/>
      <w:szCs w:val="32"/>
    </w:rPr>
  </w:style>
  <w:style w:type="paragraph" w:styleId="af">
    <w:name w:val="No Spacing"/>
    <w:uiPriority w:val="1"/>
    <w:qFormat/>
    <w:rsid w:val="00837A81"/>
    <w:pPr>
      <w:spacing w:after="0" w:line="240" w:lineRule="auto"/>
    </w:pPr>
    <w:rPr>
      <w:rFonts w:ascii="Cordia New" w:eastAsia="Cordia New" w:hAnsi="Cordia New" w:cs="Angsana New"/>
      <w:sz w:val="28"/>
      <w:szCs w:val="35"/>
    </w:rPr>
  </w:style>
  <w:style w:type="paragraph" w:styleId="af0">
    <w:name w:val="List Paragraph"/>
    <w:basedOn w:val="a"/>
    <w:uiPriority w:val="34"/>
    <w:qFormat/>
    <w:rsid w:val="00BE515D"/>
    <w:pPr>
      <w:ind w:left="720"/>
      <w:contextualSpacing/>
    </w:pPr>
    <w:rPr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207"/>
    <w:pPr>
      <w:spacing w:after="0" w:line="240" w:lineRule="auto"/>
    </w:pPr>
    <w:rPr>
      <w:rFonts w:ascii="Cordia New" w:eastAsia="Cordia New" w:hAnsi="Times New Roman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 อักขระ,อักขระ"/>
    <w:basedOn w:val="a"/>
    <w:link w:val="a4"/>
    <w:rsid w:val="00AF1207"/>
    <w:rPr>
      <w:rFonts w:ascii="MS Sans Serif" w:eastAsia="Times New Roman" w:hAnsi="MS Sans Serif"/>
    </w:rPr>
  </w:style>
  <w:style w:type="character" w:customStyle="1" w:styleId="a4">
    <w:name w:val="ข้อความเชิงอรรถ อักขระ"/>
    <w:aliases w:val=" อักขระ อักขระ,อักขระ อักขระ"/>
    <w:basedOn w:val="a0"/>
    <w:link w:val="a3"/>
    <w:rsid w:val="00AF1207"/>
    <w:rPr>
      <w:rFonts w:ascii="MS Sans Serif" w:eastAsia="Times New Roman" w:hAnsi="MS Sans Serif" w:cs="Cordia New"/>
      <w:sz w:val="28"/>
    </w:rPr>
  </w:style>
  <w:style w:type="paragraph" w:styleId="a5">
    <w:name w:val="header"/>
    <w:basedOn w:val="a"/>
    <w:link w:val="a6"/>
    <w:uiPriority w:val="99"/>
    <w:rsid w:val="00C5377B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a6">
    <w:name w:val="หัวกระดาษ อักขระ"/>
    <w:basedOn w:val="a0"/>
    <w:link w:val="a5"/>
    <w:uiPriority w:val="99"/>
    <w:rsid w:val="00C5377B"/>
    <w:rPr>
      <w:rFonts w:ascii="Cordia New" w:eastAsia="Cordia New" w:hAnsi="Times New Roman" w:cs="Angsana New"/>
      <w:sz w:val="28"/>
      <w:lang w:val="x-none" w:eastAsia="x-none"/>
    </w:rPr>
  </w:style>
  <w:style w:type="character" w:styleId="a7">
    <w:name w:val="Hyperlink"/>
    <w:basedOn w:val="a0"/>
    <w:uiPriority w:val="99"/>
    <w:unhideWhenUsed/>
    <w:rsid w:val="008C48F0"/>
    <w:rPr>
      <w:color w:val="0563C1" w:themeColor="hyperlink"/>
      <w:u w:val="single"/>
    </w:rPr>
  </w:style>
  <w:style w:type="paragraph" w:customStyle="1" w:styleId="Level1Head">
    <w:name w:val="Level 1 Head"/>
    <w:basedOn w:val="a"/>
    <w:rsid w:val="00184E75"/>
    <w:pPr>
      <w:outlineLvl w:val="0"/>
    </w:pPr>
    <w:rPr>
      <w:rFonts w:ascii="Arial" w:eastAsia="Times New Roman" w:hAnsi="Arial" w:cs="Arial"/>
      <w:b/>
      <w:bCs/>
      <w:color w:val="800080"/>
      <w:sz w:val="24"/>
      <w:szCs w:val="24"/>
      <w:lang w:bidi="ar-SA"/>
    </w:rPr>
  </w:style>
  <w:style w:type="paragraph" w:customStyle="1" w:styleId="Level2Head">
    <w:name w:val="Level 2 Head"/>
    <w:rsid w:val="00184E75"/>
    <w:pPr>
      <w:spacing w:after="0" w:line="240" w:lineRule="auto"/>
      <w:outlineLvl w:val="0"/>
    </w:pPr>
    <w:rPr>
      <w:rFonts w:ascii="Times New Roman" w:eastAsia="Times New Roman" w:hAnsi="Times New Roman" w:cs="Angsana New"/>
      <w:b/>
      <w:bCs/>
      <w:noProof/>
      <w:color w:val="800080"/>
      <w:sz w:val="24"/>
      <w:szCs w:val="24"/>
      <w:lang w:bidi="ar-SA"/>
    </w:rPr>
  </w:style>
  <w:style w:type="paragraph" w:customStyle="1" w:styleId="Level3HeadCharCharChar">
    <w:name w:val="Level 3 Head Char Char Char"/>
    <w:rsid w:val="00184E75"/>
    <w:pPr>
      <w:spacing w:after="0" w:line="240" w:lineRule="auto"/>
      <w:outlineLvl w:val="0"/>
    </w:pPr>
    <w:rPr>
      <w:rFonts w:ascii="Times New Roman" w:eastAsia="Times New Roman" w:hAnsi="Times New Roman" w:cs="Angsana New"/>
      <w:b/>
      <w:bCs/>
      <w:noProof/>
      <w:sz w:val="24"/>
      <w:szCs w:val="24"/>
      <w:lang w:bidi="ar-SA"/>
    </w:rPr>
  </w:style>
  <w:style w:type="paragraph" w:styleId="a8">
    <w:name w:val="Normal (Web)"/>
    <w:basedOn w:val="a"/>
    <w:uiPriority w:val="99"/>
    <w:rsid w:val="00184E75"/>
    <w:pPr>
      <w:spacing w:before="40" w:after="40"/>
    </w:pPr>
    <w:rPr>
      <w:rFonts w:ascii="Times New Roman" w:eastAsia="Times New Roman" w:cs="Angsana New"/>
      <w:sz w:val="24"/>
      <w:szCs w:val="24"/>
      <w:lang w:bidi="ar-SA"/>
    </w:rPr>
  </w:style>
  <w:style w:type="paragraph" w:customStyle="1" w:styleId="FirstBullet">
    <w:name w:val="First Bullet"/>
    <w:basedOn w:val="a8"/>
    <w:rsid w:val="00184E75"/>
    <w:pPr>
      <w:numPr>
        <w:numId w:val="4"/>
      </w:numPr>
      <w:tabs>
        <w:tab w:val="clear" w:pos="720"/>
        <w:tab w:val="num" w:pos="270"/>
      </w:tabs>
      <w:spacing w:before="0"/>
      <w:ind w:left="270" w:hanging="270"/>
    </w:pPr>
  </w:style>
  <w:style w:type="paragraph" w:customStyle="1" w:styleId="BOBullet">
    <w:name w:val="BOBullet"/>
    <w:basedOn w:val="a8"/>
    <w:rsid w:val="00184E75"/>
    <w:pPr>
      <w:numPr>
        <w:numId w:val="5"/>
      </w:numPr>
      <w:spacing w:before="0"/>
    </w:pPr>
  </w:style>
  <w:style w:type="paragraph" w:customStyle="1" w:styleId="CriteriaMultipleReq">
    <w:name w:val="Criteria Multiple Req"/>
    <w:basedOn w:val="Level3HeadCharCharChar"/>
    <w:rsid w:val="00184E75"/>
    <w:pPr>
      <w:tabs>
        <w:tab w:val="left" w:pos="810"/>
      </w:tabs>
      <w:ind w:left="810" w:hanging="810"/>
    </w:pPr>
    <w:rPr>
      <w:color w:val="800080"/>
    </w:rPr>
  </w:style>
  <w:style w:type="paragraph" w:styleId="a9">
    <w:name w:val="footer"/>
    <w:basedOn w:val="a"/>
    <w:link w:val="aa"/>
    <w:unhideWhenUsed/>
    <w:rsid w:val="00703182"/>
    <w:pPr>
      <w:tabs>
        <w:tab w:val="center" w:pos="4513"/>
        <w:tab w:val="right" w:pos="9026"/>
      </w:tabs>
    </w:pPr>
    <w:rPr>
      <w:szCs w:val="35"/>
    </w:rPr>
  </w:style>
  <w:style w:type="character" w:customStyle="1" w:styleId="aa">
    <w:name w:val="ท้ายกระดาษ อักขระ"/>
    <w:basedOn w:val="a0"/>
    <w:link w:val="a9"/>
    <w:uiPriority w:val="99"/>
    <w:rsid w:val="00703182"/>
    <w:rPr>
      <w:rFonts w:ascii="Cordia New" w:eastAsia="Cordia New" w:hAnsi="Times New Roman" w:cs="Cordia New"/>
      <w:sz w:val="28"/>
      <w:szCs w:val="35"/>
    </w:rPr>
  </w:style>
  <w:style w:type="character" w:styleId="ab">
    <w:name w:val="page number"/>
    <w:basedOn w:val="a0"/>
    <w:rsid w:val="00703182"/>
  </w:style>
  <w:style w:type="table" w:styleId="ac">
    <w:name w:val="Table Grid"/>
    <w:basedOn w:val="a1"/>
    <w:rsid w:val="00DA31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Title"/>
    <w:basedOn w:val="a"/>
    <w:link w:val="ae"/>
    <w:qFormat/>
    <w:rsid w:val="00837A81"/>
    <w:pPr>
      <w:autoSpaceDE w:val="0"/>
      <w:autoSpaceDN w:val="0"/>
      <w:jc w:val="center"/>
    </w:pPr>
    <w:rPr>
      <w:rFonts w:eastAsia="Times New Roman" w:hAnsi="Cordia New" w:cs="Angsana New"/>
      <w:sz w:val="32"/>
      <w:szCs w:val="32"/>
    </w:rPr>
  </w:style>
  <w:style w:type="character" w:customStyle="1" w:styleId="ae">
    <w:name w:val="ชื่อเรื่อง อักขระ"/>
    <w:basedOn w:val="a0"/>
    <w:link w:val="ad"/>
    <w:rsid w:val="00837A81"/>
    <w:rPr>
      <w:rFonts w:ascii="Cordia New" w:eastAsia="Times New Roman" w:hAnsi="Cordia New" w:cs="Angsana New"/>
      <w:sz w:val="32"/>
      <w:szCs w:val="32"/>
    </w:rPr>
  </w:style>
  <w:style w:type="paragraph" w:styleId="af">
    <w:name w:val="No Spacing"/>
    <w:uiPriority w:val="1"/>
    <w:qFormat/>
    <w:rsid w:val="00837A81"/>
    <w:pPr>
      <w:spacing w:after="0" w:line="240" w:lineRule="auto"/>
    </w:pPr>
    <w:rPr>
      <w:rFonts w:ascii="Cordia New" w:eastAsia="Cordia New" w:hAnsi="Cordia New" w:cs="Angsana New"/>
      <w:sz w:val="28"/>
      <w:szCs w:val="35"/>
    </w:rPr>
  </w:style>
  <w:style w:type="paragraph" w:styleId="af0">
    <w:name w:val="List Paragraph"/>
    <w:basedOn w:val="a"/>
    <w:uiPriority w:val="34"/>
    <w:qFormat/>
    <w:rsid w:val="00BE515D"/>
    <w:pPr>
      <w:ind w:left="720"/>
      <w:contextualSpacing/>
    </w:pPr>
    <w:rPr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5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045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47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6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572359">
          <w:marLeft w:val="3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97801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6642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6582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3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174786">
          <w:marLeft w:val="3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15365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6172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69401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7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4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5354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92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78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3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16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55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jularlak</dc:creator>
  <cp:lastModifiedBy>Titiya</cp:lastModifiedBy>
  <cp:revision>2</cp:revision>
  <cp:lastPrinted>2016-02-16T08:56:00Z</cp:lastPrinted>
  <dcterms:created xsi:type="dcterms:W3CDTF">2016-03-01T03:17:00Z</dcterms:created>
  <dcterms:modified xsi:type="dcterms:W3CDTF">2016-03-01T03:17:00Z</dcterms:modified>
</cp:coreProperties>
</file>